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bookmarkStart w:id="0" w:name="_Hlk44493409"/>
      <w:bookmarkEnd w:id="0"/>
      <w:r>
        <w:rPr>
          <w:rFonts w:hint="eastAsia" w:ascii="黑体" w:hAnsi="黑体" w:eastAsia="黑体" w:cs="黑体"/>
          <w:b/>
          <w:bCs/>
          <w:sz w:val="44"/>
          <w:szCs w:val="44"/>
        </w:rPr>
        <w:t xml:space="preserve"> 山东正扬新材料有限公司</w:t>
      </w:r>
    </w:p>
    <w:p>
      <w:pPr>
        <w:jc w:val="center"/>
        <w:rPr>
          <w:rFonts w:ascii="黑体" w:hAnsi="黑体" w:eastAsia="黑体" w:cs="黑体"/>
          <w:b/>
          <w:bCs/>
          <w:sz w:val="44"/>
          <w:szCs w:val="44"/>
        </w:rPr>
      </w:pPr>
      <w:r>
        <w:rPr>
          <w:rFonts w:hint="eastAsia" w:ascii="黑体" w:hAnsi="黑体" w:eastAsia="黑体" w:cs="黑体"/>
          <w:b/>
          <w:bCs/>
          <w:sz w:val="44"/>
          <w:szCs w:val="44"/>
        </w:rPr>
        <w:t xml:space="preserve">挂牌转让说明书摘要 </w:t>
      </w:r>
    </w:p>
    <w:p>
      <w:pPr>
        <w:ind w:firstLine="2530" w:firstLineChars="900"/>
        <w:rPr>
          <w:rFonts w:ascii="黑体" w:hAnsi="黑体" w:eastAsia="黑体" w:cs="黑体"/>
          <w:b/>
          <w:bCs/>
          <w:sz w:val="28"/>
          <w:szCs w:val="28"/>
        </w:rPr>
      </w:pPr>
      <w:r>
        <w:rPr>
          <w:rFonts w:hint="eastAsia" w:ascii="黑体" w:hAnsi="黑体" w:eastAsia="黑体" w:cs="黑体"/>
          <w:b/>
          <w:bCs/>
          <w:sz w:val="28"/>
          <w:szCs w:val="28"/>
        </w:rPr>
        <w:t>（申请板块：成长板）</w:t>
      </w:r>
      <w:bookmarkStart w:id="69" w:name="_GoBack"/>
      <w:bookmarkEnd w:id="69"/>
    </w:p>
    <w:p>
      <w:pPr>
        <w:ind w:firstLine="640" w:firstLineChars="200"/>
        <w:jc w:val="center"/>
        <w:rPr>
          <w:rFonts w:ascii="仿宋" w:hAnsi="仿宋" w:eastAsia="仿宋" w:cs="仿宋"/>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声 明</w:t>
      </w:r>
    </w:p>
    <w:p>
      <w:pPr>
        <w:jc w:val="cente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eastAsia="仿宋" w:cs="仿宋"/>
          <w:sz w:val="32"/>
          <w:szCs w:val="32"/>
        </w:rPr>
      </w:pPr>
      <w:r>
        <w:rPr>
          <w:rFonts w:hint="eastAsia" w:ascii="仿宋" w:hAnsi="仿宋" w:eastAsia="仿宋" w:cs="仿宋"/>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sdt>
      <w:sdtPr>
        <w:rPr>
          <w:rFonts w:ascii="宋体" w:hAnsi="宋体"/>
          <w:sz w:val="21"/>
        </w:rPr>
        <w:id w:val="147459893"/>
        <w15:color w:val="DBDBDB"/>
        <w:docPartObj>
          <w:docPartGallery w:val="Table of Contents"/>
          <w:docPartUnique/>
        </w:docPartObj>
      </w:sdtPr>
      <w:sdtEndPr>
        <w:rPr>
          <w:rFonts w:ascii="Times New Roman" w:hAnsi="Times New Roman"/>
          <w:b/>
          <w:sz w:val="24"/>
        </w:rPr>
      </w:sdtEndPr>
      <w:sdtContent>
        <w:p>
          <w:pPr>
            <w:spacing w:line="240" w:lineRule="auto"/>
            <w:jc w:val="center"/>
          </w:pPr>
          <w:r>
            <w:rPr>
              <w:rFonts w:ascii="宋体" w:hAnsi="宋体"/>
              <w:sz w:val="21"/>
            </w:rPr>
            <w:t>目录</w:t>
          </w:r>
        </w:p>
        <w:p>
          <w:pPr>
            <w:pStyle w:val="11"/>
            <w:tabs>
              <w:tab w:val="right" w:leader="dot" w:pos="8306"/>
            </w:tabs>
          </w:pPr>
          <w:r>
            <w:fldChar w:fldCharType="begin"/>
          </w:r>
          <w:r>
            <w:instrText xml:space="preserve">TOC \o "1-2" \h \u </w:instrText>
          </w:r>
          <w:r>
            <w:fldChar w:fldCharType="separate"/>
          </w:r>
          <w:r>
            <w:fldChar w:fldCharType="begin"/>
          </w:r>
          <w:r>
            <w:instrText xml:space="preserve"> HYPERLINK \l _Toc12842 </w:instrText>
          </w:r>
          <w:r>
            <w:fldChar w:fldCharType="separate"/>
          </w:r>
          <w:r>
            <w:rPr>
              <w:rFonts w:hint="eastAsia"/>
            </w:rPr>
            <w:t>第一章  重大风险及重大事项提示</w:t>
          </w:r>
          <w:r>
            <w:tab/>
          </w:r>
          <w:r>
            <w:fldChar w:fldCharType="begin"/>
          </w:r>
          <w:r>
            <w:instrText xml:space="preserve"> PAGEREF _Toc12842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_Toc15305 </w:instrText>
          </w:r>
          <w:r>
            <w:fldChar w:fldCharType="separate"/>
          </w:r>
          <w:r>
            <w:rPr>
              <w:rFonts w:hint="eastAsia"/>
            </w:rPr>
            <w:t>一、重大风险提示</w:t>
          </w:r>
          <w:r>
            <w:tab/>
          </w:r>
          <w:r>
            <w:fldChar w:fldCharType="begin"/>
          </w:r>
          <w:r>
            <w:instrText xml:space="preserve"> PAGEREF _Toc15305 \h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_Toc28631 </w:instrText>
          </w:r>
          <w:r>
            <w:fldChar w:fldCharType="separate"/>
          </w:r>
          <w:r>
            <w:rPr>
              <w:rFonts w:hint="eastAsia"/>
            </w:rPr>
            <w:t>二、重大事项提示</w:t>
          </w:r>
          <w:r>
            <w:tab/>
          </w:r>
          <w:r>
            <w:fldChar w:fldCharType="begin"/>
          </w:r>
          <w:r>
            <w:instrText xml:space="preserve"> PAGEREF _Toc28631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_Toc24352 </w:instrText>
          </w:r>
          <w:r>
            <w:fldChar w:fldCharType="separate"/>
          </w:r>
          <w:r>
            <w:rPr>
              <w:rFonts w:hint="eastAsia"/>
            </w:rPr>
            <w:t>第二章  公司基本情况</w:t>
          </w:r>
          <w:r>
            <w:tab/>
          </w:r>
          <w:r>
            <w:fldChar w:fldCharType="begin"/>
          </w:r>
          <w:r>
            <w:instrText xml:space="preserve"> PAGEREF _Toc24352 \h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_Toc13403 </w:instrText>
          </w:r>
          <w:r>
            <w:fldChar w:fldCharType="separate"/>
          </w:r>
          <w:r>
            <w:rPr>
              <w:rFonts w:hint="eastAsia"/>
            </w:rPr>
            <w:t>一、挂牌公司基本情况</w:t>
          </w:r>
          <w:r>
            <w:tab/>
          </w:r>
          <w:r>
            <w:fldChar w:fldCharType="begin"/>
          </w:r>
          <w:r>
            <w:instrText xml:space="preserve"> PAGEREF _Toc13403 \h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_Toc15121 </w:instrText>
          </w:r>
          <w:r>
            <w:fldChar w:fldCharType="separate"/>
          </w:r>
          <w:r>
            <w:rPr>
              <w:rFonts w:hint="eastAsia"/>
            </w:rPr>
            <w:t>二、公司目前股权结构及股东情况</w:t>
          </w:r>
          <w:r>
            <w:tab/>
          </w:r>
          <w:r>
            <w:fldChar w:fldCharType="begin"/>
          </w:r>
          <w:r>
            <w:instrText xml:space="preserve"> PAGEREF _Toc15121 \h </w:instrText>
          </w:r>
          <w:r>
            <w:fldChar w:fldCharType="separate"/>
          </w:r>
          <w:r>
            <w:t>6</w:t>
          </w:r>
          <w:r>
            <w:fldChar w:fldCharType="end"/>
          </w:r>
          <w:r>
            <w:fldChar w:fldCharType="end"/>
          </w:r>
        </w:p>
        <w:p>
          <w:pPr>
            <w:pStyle w:val="12"/>
            <w:tabs>
              <w:tab w:val="right" w:leader="dot" w:pos="8306"/>
            </w:tabs>
          </w:pPr>
          <w:r>
            <w:fldChar w:fldCharType="begin"/>
          </w:r>
          <w:r>
            <w:instrText xml:space="preserve"> HYPERLINK \l _Toc1193 </w:instrText>
          </w:r>
          <w:r>
            <w:fldChar w:fldCharType="separate"/>
          </w:r>
          <w:r>
            <w:rPr>
              <w:rFonts w:hint="eastAsia"/>
            </w:rPr>
            <w:t>三、公司组织结构</w:t>
          </w:r>
          <w:r>
            <w:tab/>
          </w:r>
          <w:r>
            <w:fldChar w:fldCharType="begin"/>
          </w:r>
          <w:r>
            <w:instrText xml:space="preserve"> PAGEREF _Toc1193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_Toc31719 </w:instrText>
          </w:r>
          <w:r>
            <w:fldChar w:fldCharType="separate"/>
          </w:r>
          <w:r>
            <w:rPr>
              <w:rFonts w:hint="eastAsia"/>
            </w:rPr>
            <w:t>四、公司主营业务情况</w:t>
          </w:r>
          <w:r>
            <w:tab/>
          </w:r>
          <w:r>
            <w:fldChar w:fldCharType="begin"/>
          </w:r>
          <w:r>
            <w:instrText xml:space="preserve"> PAGEREF _Toc31719 \h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_Toc4754 </w:instrText>
          </w:r>
          <w:r>
            <w:fldChar w:fldCharType="separate"/>
          </w:r>
          <w:r>
            <w:rPr>
              <w:rFonts w:hint="eastAsia"/>
            </w:rPr>
            <w:t>五、公司财务报表简表</w:t>
          </w:r>
          <w:r>
            <w:tab/>
          </w:r>
          <w:r>
            <w:fldChar w:fldCharType="begin"/>
          </w:r>
          <w:r>
            <w:instrText xml:space="preserve"> PAGEREF _Toc4754 \h </w:instrText>
          </w:r>
          <w:r>
            <w:fldChar w:fldCharType="separate"/>
          </w:r>
          <w:r>
            <w:t>9</w:t>
          </w:r>
          <w:r>
            <w:fldChar w:fldCharType="end"/>
          </w:r>
          <w:r>
            <w:fldChar w:fldCharType="end"/>
          </w:r>
        </w:p>
        <w:p>
          <w:pPr>
            <w:pStyle w:val="12"/>
            <w:tabs>
              <w:tab w:val="right" w:leader="dot" w:pos="8306"/>
            </w:tabs>
          </w:pPr>
          <w:r>
            <w:fldChar w:fldCharType="begin"/>
          </w:r>
          <w:r>
            <w:instrText xml:space="preserve"> HYPERLINK \l _Toc12302 </w:instrText>
          </w:r>
          <w:r>
            <w:fldChar w:fldCharType="separate"/>
          </w:r>
          <w:r>
            <w:rPr>
              <w:rFonts w:hint="eastAsia"/>
            </w:rPr>
            <w:t>六、公司经营目标及计划</w:t>
          </w:r>
          <w:r>
            <w:tab/>
          </w:r>
          <w:r>
            <w:fldChar w:fldCharType="begin"/>
          </w:r>
          <w:r>
            <w:instrText xml:space="preserve"> PAGEREF _Toc12302 \h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_Toc28432 </w:instrText>
          </w:r>
          <w:r>
            <w:fldChar w:fldCharType="separate"/>
          </w:r>
          <w:r>
            <w:rPr>
              <w:rFonts w:hint="eastAsia"/>
            </w:rPr>
            <w:t>第三章 本次挂牌的有关机构</w:t>
          </w:r>
          <w:r>
            <w:tab/>
          </w:r>
          <w:r>
            <w:fldChar w:fldCharType="begin"/>
          </w:r>
          <w:r>
            <w:instrText xml:space="preserve"> PAGEREF _Toc28432 \h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_Toc30683 </w:instrText>
          </w:r>
          <w:r>
            <w:fldChar w:fldCharType="separate"/>
          </w:r>
          <w:r>
            <w:rPr>
              <w:rFonts w:hint="eastAsia" w:ascii="宋体" w:hAnsi="宋体"/>
              <w:bCs/>
              <w:szCs w:val="28"/>
            </w:rPr>
            <w:t>一、推荐机构</w:t>
          </w:r>
          <w:r>
            <w:tab/>
          </w:r>
          <w:r>
            <w:fldChar w:fldCharType="begin"/>
          </w:r>
          <w:r>
            <w:instrText xml:space="preserve"> PAGEREF _Toc30683 \h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_Toc10105 </w:instrText>
          </w:r>
          <w:r>
            <w:fldChar w:fldCharType="separate"/>
          </w:r>
          <w:r>
            <w:rPr>
              <w:rFonts w:hint="eastAsia" w:ascii="宋体" w:hAnsi="宋体"/>
              <w:bCs/>
              <w:szCs w:val="28"/>
            </w:rPr>
            <w:t>二、审计机构</w:t>
          </w:r>
          <w:r>
            <w:tab/>
          </w:r>
          <w:r>
            <w:fldChar w:fldCharType="begin"/>
          </w:r>
          <w:r>
            <w:instrText xml:space="preserve"> PAGEREF _Toc10105 \h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_Toc10320 </w:instrText>
          </w:r>
          <w:r>
            <w:fldChar w:fldCharType="separate"/>
          </w:r>
          <w:r>
            <w:rPr>
              <w:rFonts w:hint="eastAsia" w:ascii="宋体" w:hAnsi="宋体"/>
              <w:bCs/>
              <w:szCs w:val="28"/>
            </w:rPr>
            <w:t>三、股权登记托管机构</w:t>
          </w:r>
          <w:r>
            <w:tab/>
          </w:r>
          <w:r>
            <w:fldChar w:fldCharType="begin"/>
          </w:r>
          <w:r>
            <w:instrText xml:space="preserve"> PAGEREF _Toc10320 \h </w:instrText>
          </w:r>
          <w:r>
            <w:fldChar w:fldCharType="separate"/>
          </w:r>
          <w:r>
            <w:t>17</w:t>
          </w:r>
          <w:r>
            <w:fldChar w:fldCharType="end"/>
          </w:r>
          <w:r>
            <w:fldChar w:fldCharType="end"/>
          </w:r>
        </w:p>
        <w:p>
          <w:r>
            <w:fldChar w:fldCharType="end"/>
          </w:r>
        </w:p>
      </w:sdtContent>
    </w:sdt>
    <w:p/>
    <w:p>
      <w:r>
        <w:br w:type="page"/>
      </w:r>
    </w:p>
    <w:p>
      <w:pPr>
        <w:pStyle w:val="2"/>
        <w:rPr>
          <w:rFonts w:ascii="仿宋" w:hAnsi="仿宋" w:eastAsia="仿宋" w:cs="仿宋"/>
          <w:bCs/>
          <w:szCs w:val="32"/>
        </w:rPr>
      </w:pPr>
      <w:bookmarkStart w:id="1" w:name="_Toc12842"/>
      <w:r>
        <w:rPr>
          <w:rFonts w:hint="eastAsia"/>
        </w:rPr>
        <w:t>第一章  重大风险及重大事项提示</w:t>
      </w:r>
      <w:bookmarkEnd w:id="1"/>
    </w:p>
    <w:p>
      <w:pPr>
        <w:pStyle w:val="3"/>
        <w:ind w:left="480"/>
      </w:pPr>
      <w:bookmarkStart w:id="2" w:name="_Toc16487_WPSOffice_Level2"/>
      <w:bookmarkStart w:id="3" w:name="_Toc15305"/>
      <w:r>
        <w:rPr>
          <w:rFonts w:hint="eastAsia"/>
        </w:rPr>
        <w:t>一、重大风险提示</w:t>
      </w:r>
      <w:bookmarkEnd w:id="2"/>
      <w:bookmarkEnd w:id="3"/>
    </w:p>
    <w:p>
      <w:pPr>
        <w:ind w:firstLine="480"/>
        <w:rPr>
          <w:rFonts w:ascii="宋体" w:hAnsi="宋体"/>
        </w:rPr>
      </w:pPr>
      <w:r>
        <w:rPr>
          <w:rFonts w:hint="eastAsia" w:ascii="宋体" w:hAnsi="宋体"/>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bookmarkStart w:id="4" w:name="_Toc236206524"/>
      <w:bookmarkStart w:id="5" w:name="_Toc280345464"/>
      <w:bookmarkStart w:id="6" w:name="_Toc236113127"/>
      <w:bookmarkStart w:id="7" w:name="_Toc245701697"/>
      <w:bookmarkStart w:id="8" w:name="_Toc236113884"/>
    </w:p>
    <w:bookmarkEnd w:id="4"/>
    <w:bookmarkEnd w:id="5"/>
    <w:bookmarkEnd w:id="6"/>
    <w:bookmarkEnd w:id="7"/>
    <w:bookmarkEnd w:id="8"/>
    <w:p>
      <w:pPr>
        <w:ind w:firstLine="480"/>
        <w:rPr>
          <w:b/>
        </w:rPr>
      </w:pPr>
      <w:bookmarkStart w:id="9" w:name="_Toc245701698"/>
      <w:bookmarkStart w:id="10" w:name="_Toc236206525"/>
      <w:bookmarkStart w:id="11" w:name="_Toc236113128"/>
      <w:bookmarkStart w:id="12" w:name="_Toc236113885"/>
      <w:bookmarkStart w:id="13" w:name="_Toc16996"/>
      <w:bookmarkStart w:id="14" w:name="_Toc280345465"/>
      <w:r>
        <w:rPr>
          <w:rFonts w:hint="eastAsia"/>
        </w:rPr>
        <w:t>（一）</w:t>
      </w:r>
      <w:r>
        <w:rPr>
          <w:b/>
        </w:rPr>
        <w:t>实际控制人不当控制风险</w:t>
      </w:r>
    </w:p>
    <w:p>
      <w:pPr>
        <w:ind w:firstLine="480"/>
        <w:rPr>
          <w:b/>
        </w:rPr>
      </w:pPr>
      <w:r>
        <w:rPr>
          <w:rFonts w:hint="eastAsia"/>
          <w:b/>
        </w:rPr>
        <w:t>王娟直接持有公司100%的股权</w:t>
      </w:r>
      <w:r>
        <w:rPr>
          <w:b/>
        </w:rPr>
        <w:t>，是公司的控股股东。</w:t>
      </w:r>
      <w:r>
        <w:rPr>
          <w:rFonts w:hint="eastAsia"/>
          <w:b/>
        </w:rPr>
        <w:t>若王娟女士利用其控股地位，通过行使表决权等方式对公司的经营决策、人事、财务等进行不当控制，可能会对公司经营带来风险。因此，公司要进一步健全内部控制制度，切实提高规范运作水平，确保信息披露的质量，从而削弱实际控制人的控制权。</w:t>
      </w:r>
    </w:p>
    <w:p>
      <w:pPr>
        <w:ind w:firstLine="480"/>
        <w:rPr>
          <w:b/>
        </w:rPr>
      </w:pPr>
      <w:r>
        <w:rPr>
          <w:rFonts w:hint="eastAsia"/>
        </w:rPr>
        <w:t>（二）</w:t>
      </w:r>
      <w:r>
        <w:rPr>
          <w:rFonts w:hint="eastAsia"/>
          <w:b/>
        </w:rPr>
        <w:t>宏观经济环境风险</w:t>
      </w:r>
    </w:p>
    <w:p>
      <w:pPr>
        <w:ind w:firstLine="480"/>
        <w:rPr>
          <w:b/>
        </w:rPr>
      </w:pPr>
      <w:r>
        <w:rPr>
          <w:rFonts w:hint="eastAsia"/>
          <w:b/>
        </w:rPr>
        <w:t>公司产品应用领域广泛，可以应用在石油石化、航空航天、轨道交通、通用机械、高端装备制造等行业。公司产品的市场需求受应用行业固定资产投资和技术改造项目增量的影响，而这些行业每年的新增投资与国家宏观经济形势具有较强的相关性。近年来，全球经济低迷，我国经济增长速度有所下降，如果未来国家宏观经济波动导致终端应用行业的投资放缓，公司的销售收入和营业利润的增速也将随之放缓。对此，公司近些年不断提升服务质量，增强下游客户对企业产品粘性，同时发展重点客户，尽可能减少宏观经济环境变动带来的风险。</w:t>
      </w:r>
    </w:p>
    <w:p>
      <w:pPr>
        <w:ind w:firstLine="482" w:firstLineChars="200"/>
        <w:rPr>
          <w:b/>
        </w:rPr>
      </w:pPr>
      <w:r>
        <w:rPr>
          <w:rFonts w:hint="eastAsia"/>
          <w:b/>
        </w:rPr>
        <w:t>（三）产品技术风险</w:t>
      </w:r>
    </w:p>
    <w:p>
      <w:pPr>
        <w:ind w:firstLine="482" w:firstLineChars="200"/>
        <w:rPr>
          <w:b/>
        </w:rPr>
      </w:pPr>
      <w:r>
        <w:rPr>
          <w:rFonts w:hint="eastAsia"/>
          <w:b/>
        </w:rPr>
        <w:t>市场对产品性能要求的不断提高，推动着氟材料制品的不断升级换代。公司密切跟踪行业发展动向以及客户需求变化，积极开发新产品、新技术，进而使得公司能够跟上市场发展的步伐，满足客户的新要求。如果公司不能维持其创新能力，已有的竞争优势将被削弱，从而对公司产品的市场份额、经济效益及发展前景造成不利影响。为此，公司不断招聘技术人员，加强对技术的研发和应用，提升自身技术壁垒，应对产品技术风险。</w:t>
      </w:r>
    </w:p>
    <w:bookmarkEnd w:id="9"/>
    <w:bookmarkEnd w:id="10"/>
    <w:bookmarkEnd w:id="11"/>
    <w:bookmarkEnd w:id="12"/>
    <w:bookmarkEnd w:id="13"/>
    <w:bookmarkEnd w:id="14"/>
    <w:p>
      <w:pPr>
        <w:pStyle w:val="3"/>
        <w:ind w:left="480"/>
      </w:pPr>
      <w:bookmarkStart w:id="15" w:name="_Toc28631"/>
      <w:r>
        <w:rPr>
          <w:rFonts w:hint="eastAsia"/>
        </w:rPr>
        <w:t>二、重大事项提示</w:t>
      </w:r>
      <w:bookmarkEnd w:id="15"/>
    </w:p>
    <w:p>
      <w:pPr>
        <w:ind w:firstLine="480"/>
        <w:rPr>
          <w:rFonts w:ascii="宋体" w:hAnsi="宋体"/>
          <w:bCs/>
        </w:rPr>
      </w:pPr>
      <w:r>
        <w:rPr>
          <w:rFonts w:hint="eastAsia" w:ascii="宋体" w:hAnsi="宋体"/>
          <w:bCs/>
        </w:rPr>
        <w:t>（一）股东关于自愿锁定股权的承诺</w:t>
      </w:r>
    </w:p>
    <w:p>
      <w:pPr>
        <w:ind w:firstLine="480" w:firstLineChars="200"/>
      </w:pPr>
      <w:r>
        <w:rPr>
          <w:rFonts w:hint="eastAsia"/>
          <w:bCs/>
        </w:rPr>
        <w:t>公司控股股东王娟承诺：“自山东正扬新材料有限公司股票在齐鲁股权交易中心有限公司挂牌之日起十二个月内，不</w:t>
      </w:r>
      <w:r>
        <w:rPr>
          <w:rFonts w:hint="eastAsia"/>
        </w:rPr>
        <w:t xml:space="preserve">转让或者委托他人管理其持有的公司股权，也不由公司收购该部分股权。” </w:t>
      </w:r>
    </w:p>
    <w:p>
      <w:pPr>
        <w:ind w:firstLine="480" w:firstLineChars="200"/>
        <w:rPr>
          <w:rStyle w:val="25"/>
          <w:b w:val="0"/>
        </w:rPr>
      </w:pPr>
      <w:r>
        <w:rPr>
          <w:rFonts w:hint="eastAsia" w:ascii="宋体" w:hAnsi="宋体"/>
        </w:rPr>
        <w:t>（二）股利分配政策</w:t>
      </w:r>
    </w:p>
    <w:p>
      <w:pPr>
        <w:ind w:firstLine="480" w:firstLineChars="200"/>
      </w:pPr>
      <w:r>
        <w:rPr>
          <w:rFonts w:hint="eastAsia"/>
        </w:rPr>
        <w:t>根据《公司法》等法律法规，公司股权挂牌后适用的《公司章程》，此次股权挂牌后，公司的股利分配政策如下：</w:t>
      </w:r>
      <w:r>
        <w:rPr>
          <w:rFonts w:hint="eastAsia"/>
          <w:color w:val="FF0000"/>
        </w:rPr>
        <w:t xml:space="preserve"> </w:t>
      </w:r>
    </w:p>
    <w:p>
      <w:pPr>
        <w:ind w:firstLine="480" w:firstLineChars="200"/>
      </w:pPr>
      <w:r>
        <w:rPr>
          <w:rFonts w:hint="eastAsia"/>
        </w:rPr>
        <w:t>1、决策机制与程序：公司的利润分配政策和具体股利分配方案由执行董事制订及审议，随后出具股东决定批准；董事在制订利润分配政策、股利分配方案时应充分考虑监事和其他投资者的意见。</w:t>
      </w:r>
    </w:p>
    <w:p>
      <w:pPr>
        <w:ind w:firstLine="480" w:firstLineChars="200"/>
      </w:pPr>
      <w:r>
        <w:rPr>
          <w:rFonts w:hint="eastAsia"/>
        </w:rPr>
        <w:t>2、利润的分配形式：公司可采取现金、股份或者现金股份相结合的方式分配股利。公司将优先考虑采取现金方式分配股利；若公司增长快速，在考虑实际经营情况的基础上，可采取股份或者现金股份相结合的方式分配股利。</w:t>
      </w:r>
    </w:p>
    <w:p>
      <w:pPr>
        <w:ind w:firstLine="480" w:firstLineChars="200"/>
      </w:pPr>
      <w:r>
        <w:rPr>
          <w:rFonts w:hint="eastAsia"/>
        </w:rPr>
        <w:t>3、公司根据外部经营环境或者自身经营状况对利润分配政策进行调整的，调整后的利润分配政策不得违反齐鲁股权交易中心有关规定，有关调整利润分配政策的议案需经公司执行董事审议后批准。</w:t>
      </w:r>
    </w:p>
    <w:p>
      <w:pPr>
        <w:pStyle w:val="2"/>
      </w:pPr>
      <w:bookmarkStart w:id="16" w:name="_Toc24352"/>
      <w:r>
        <w:rPr>
          <w:rFonts w:hint="eastAsia"/>
        </w:rPr>
        <w:t>第二章  公司基本情况</w:t>
      </w:r>
      <w:bookmarkEnd w:id="16"/>
    </w:p>
    <w:p>
      <w:pPr>
        <w:pStyle w:val="3"/>
        <w:ind w:left="480"/>
      </w:pPr>
      <w:bookmarkStart w:id="17" w:name="_Toc13403"/>
      <w:r>
        <w:rPr>
          <w:rFonts w:hint="eastAsia"/>
        </w:rPr>
        <w:t>一、挂牌公司基本情况</w:t>
      </w:r>
      <w:bookmarkEnd w:id="17"/>
    </w:p>
    <w:p>
      <w:pPr>
        <w:ind w:firstLine="480"/>
        <w:rPr>
          <w:rFonts w:ascii="宋体" w:hAnsi="宋体"/>
        </w:rPr>
      </w:pPr>
      <w:r>
        <w:rPr>
          <w:rFonts w:hint="eastAsia" w:ascii="宋体" w:hAnsi="宋体"/>
        </w:rPr>
        <w:t>公司名称：山东正扬新材料有限公司</w:t>
      </w:r>
    </w:p>
    <w:p>
      <w:pPr>
        <w:ind w:firstLine="480"/>
        <w:rPr>
          <w:rFonts w:ascii="宋体" w:hAnsi="宋体"/>
        </w:rPr>
      </w:pPr>
      <w:r>
        <w:rPr>
          <w:rFonts w:hint="eastAsia" w:ascii="宋体" w:hAnsi="宋体"/>
        </w:rPr>
        <w:t>注册资本：</w:t>
      </w:r>
      <w:r>
        <w:rPr>
          <w:rFonts w:ascii="宋体" w:hAnsi="宋体"/>
        </w:rPr>
        <w:t xml:space="preserve"> </w:t>
      </w:r>
      <w:r>
        <w:rPr>
          <w:rFonts w:hint="eastAsia" w:ascii="宋体" w:hAnsi="宋体"/>
        </w:rPr>
        <w:t>3114万元人民币</w:t>
      </w:r>
    </w:p>
    <w:p>
      <w:pPr>
        <w:tabs>
          <w:tab w:val="left" w:pos="6379"/>
        </w:tabs>
        <w:ind w:firstLine="480"/>
        <w:rPr>
          <w:rFonts w:ascii="宋体" w:hAnsi="宋体"/>
        </w:rPr>
      </w:pPr>
      <w:r>
        <w:rPr>
          <w:rFonts w:hint="eastAsia" w:ascii="宋体" w:hAnsi="宋体"/>
        </w:rPr>
        <w:t xml:space="preserve">实收资本： 1500万元人民币 </w:t>
      </w:r>
    </w:p>
    <w:p>
      <w:pPr>
        <w:tabs>
          <w:tab w:val="left" w:pos="6379"/>
        </w:tabs>
        <w:ind w:firstLine="480"/>
        <w:rPr>
          <w:rFonts w:ascii="宋体" w:hAnsi="宋体"/>
        </w:rPr>
      </w:pPr>
      <w:r>
        <w:rPr>
          <w:rFonts w:hint="eastAsia" w:ascii="宋体" w:hAnsi="宋体"/>
        </w:rPr>
        <w:t>法定代表人：王娟</w:t>
      </w:r>
    </w:p>
    <w:p>
      <w:pPr>
        <w:ind w:firstLine="480"/>
        <w:rPr>
          <w:rFonts w:ascii="宋体" w:hAnsi="宋体"/>
        </w:rPr>
      </w:pPr>
      <w:r>
        <w:rPr>
          <w:rFonts w:hint="eastAsia" w:ascii="宋体" w:hAnsi="宋体"/>
        </w:rPr>
        <w:t>统一社会信用代码：</w:t>
      </w:r>
      <w:r>
        <w:rPr>
          <w:rFonts w:ascii="宋体" w:hAnsi="宋体"/>
        </w:rPr>
        <w:t>91370303MA3MAYLL57</w:t>
      </w:r>
    </w:p>
    <w:p>
      <w:pPr>
        <w:ind w:firstLine="480"/>
        <w:rPr>
          <w:rFonts w:ascii="宋体" w:hAnsi="宋体"/>
        </w:rPr>
      </w:pPr>
      <w:r>
        <w:rPr>
          <w:rFonts w:hint="eastAsia" w:ascii="宋体" w:hAnsi="宋体"/>
        </w:rPr>
        <w:t>成立日期：</w:t>
      </w:r>
      <w:r>
        <w:rPr>
          <w:rFonts w:ascii="宋体" w:hAnsi="宋体"/>
        </w:rPr>
        <w:t>20</w:t>
      </w:r>
      <w:r>
        <w:rPr>
          <w:rFonts w:hint="eastAsia" w:ascii="宋体" w:hAnsi="宋体"/>
        </w:rPr>
        <w:t>18-8-17</w:t>
      </w:r>
    </w:p>
    <w:p>
      <w:pPr>
        <w:ind w:firstLine="480"/>
        <w:rPr>
          <w:rFonts w:ascii="宋体" w:hAnsi="宋体"/>
        </w:rPr>
      </w:pPr>
      <w:r>
        <w:rPr>
          <w:rFonts w:hint="eastAsia" w:ascii="宋体" w:hAnsi="宋体"/>
        </w:rPr>
        <w:t>住所：</w:t>
      </w:r>
      <w:bookmarkStart w:id="18" w:name="_Hlk66094934"/>
      <w:r>
        <w:rPr>
          <w:rFonts w:hint="eastAsia" w:ascii="宋体" w:hAnsi="宋体"/>
        </w:rPr>
        <w:t>山东省淄博市桓台县果里镇果里大道111号</w:t>
      </w:r>
      <w:bookmarkEnd w:id="18"/>
    </w:p>
    <w:p>
      <w:pPr>
        <w:ind w:firstLine="480"/>
        <w:rPr>
          <w:rFonts w:ascii="宋体" w:hAnsi="宋体"/>
        </w:rPr>
      </w:pPr>
      <w:r>
        <w:rPr>
          <w:rFonts w:hint="eastAsia" w:ascii="宋体" w:hAnsi="宋体"/>
        </w:rPr>
        <w:t>经营范围</w:t>
      </w:r>
      <w:bookmarkStart w:id="19" w:name="_Hlk22721649"/>
      <w:r>
        <w:rPr>
          <w:rFonts w:hint="eastAsia" w:ascii="宋体" w:hAnsi="宋体"/>
        </w:rPr>
        <w:t>：</w:t>
      </w:r>
      <w:bookmarkEnd w:id="19"/>
      <w:r>
        <w:rPr>
          <w:rFonts w:hint="eastAsia" w:ascii="宋体" w:hAnsi="宋体"/>
        </w:rPr>
        <w:t>高性能膜材料生产；聚四氟乙烯制品生产、销售；货物进出口。（依法须经批准的项目，经相关部门批准后方可开展经营活动）**</w:t>
      </w:r>
    </w:p>
    <w:p>
      <w:pPr>
        <w:ind w:firstLine="480"/>
        <w:rPr>
          <w:rFonts w:ascii="宋体" w:hAnsi="宋体"/>
        </w:rPr>
      </w:pPr>
      <w:r>
        <w:rPr>
          <w:rFonts w:hint="eastAsia" w:ascii="宋体" w:hAnsi="宋体"/>
        </w:rPr>
        <w:t>主要产品：</w:t>
      </w:r>
      <w:bookmarkStart w:id="20" w:name="_Hlk57818125"/>
      <w:r>
        <w:rPr>
          <w:rFonts w:hint="eastAsia" w:ascii="宋体" w:hAnsi="宋体"/>
        </w:rPr>
        <w:t>氟材料制品的生产和销售</w:t>
      </w:r>
    </w:p>
    <w:bookmarkEnd w:id="20"/>
    <w:p>
      <w:pPr>
        <w:ind w:firstLine="480"/>
        <w:rPr>
          <w:rFonts w:ascii="宋体" w:hAnsi="宋体"/>
        </w:rPr>
      </w:pPr>
      <w:r>
        <w:rPr>
          <w:rFonts w:hint="eastAsia" w:ascii="宋体" w:hAnsi="宋体"/>
        </w:rPr>
        <w:t>邮政编码：</w:t>
      </w:r>
      <w:r>
        <w:rPr>
          <w:rFonts w:ascii="宋体" w:hAnsi="宋体"/>
        </w:rPr>
        <w:t>256400</w:t>
      </w:r>
    </w:p>
    <w:p>
      <w:pPr>
        <w:ind w:firstLine="480"/>
        <w:rPr>
          <w:rFonts w:ascii="宋体" w:hAnsi="宋体"/>
        </w:rPr>
      </w:pPr>
      <w:r>
        <w:rPr>
          <w:rFonts w:hint="eastAsia" w:ascii="宋体" w:hAnsi="宋体"/>
        </w:rPr>
        <w:t>电子邮箱：</w:t>
      </w:r>
      <w:r>
        <w:rPr>
          <w:rFonts w:ascii="宋体" w:hAnsi="宋体"/>
        </w:rPr>
        <w:t>2741986959@qq.com</w:t>
      </w:r>
    </w:p>
    <w:p>
      <w:pPr>
        <w:ind w:firstLine="480"/>
        <w:rPr>
          <w:rFonts w:ascii="宋体" w:hAnsi="宋体"/>
        </w:rPr>
      </w:pPr>
      <w:r>
        <w:rPr>
          <w:rFonts w:hint="eastAsia" w:ascii="宋体" w:hAnsi="宋体"/>
        </w:rPr>
        <w:t>电话：17663001258 </w:t>
      </w:r>
    </w:p>
    <w:p>
      <w:pPr>
        <w:ind w:firstLine="480"/>
        <w:rPr>
          <w:rFonts w:ascii="宋体" w:hAnsi="宋体"/>
        </w:rPr>
      </w:pPr>
      <w:r>
        <w:rPr>
          <w:rFonts w:hint="eastAsia" w:ascii="宋体" w:hAnsi="宋体"/>
        </w:rPr>
        <w:t>传真：无</w:t>
      </w:r>
    </w:p>
    <w:p>
      <w:pPr>
        <w:ind w:firstLine="480"/>
        <w:rPr>
          <w:rFonts w:ascii="宋体" w:hAnsi="宋体"/>
        </w:rPr>
      </w:pPr>
      <w:r>
        <w:rPr>
          <w:rFonts w:hint="eastAsia" w:ascii="宋体" w:hAnsi="宋体"/>
        </w:rPr>
        <w:t>信息披露事务负责人：路玉新</w:t>
      </w:r>
    </w:p>
    <w:p>
      <w:pPr>
        <w:ind w:firstLine="480"/>
      </w:pPr>
      <w:bookmarkStart w:id="21" w:name="_Hlk57203151"/>
      <w:bookmarkStart w:id="22" w:name="_Hlk49460562"/>
      <w:r>
        <w:rPr>
          <w:rFonts w:hint="eastAsia" w:ascii="宋体" w:hAnsi="宋体"/>
        </w:rPr>
        <w:t>山东正扬新材料有限公司成立于2018年8月17日，位于亚洲氟硅材料生产基地之一—淄博，是一家专注于PTFE材料研发、加工制造、销售的专业公司。公司属于高新技术产业国家鼓励类行业，工艺技术水平、产品质量位居同行业前列，先后通过了ISO 9000质量管理体系认证、ISO14000环境管理体系认证、欧洲CE认证、SGS认证，质量达到DuPont Company的Teflon产品标准。</w:t>
      </w:r>
      <w:bookmarkEnd w:id="21"/>
      <w:r>
        <w:rPr>
          <w:rFonts w:hint="eastAsia" w:ascii="宋体" w:hAnsi="宋体"/>
        </w:rPr>
        <w:t>公司已与几十家地区批发商和上百家终端客户包括SINOPEC和CNPC等化工企业建立了长期稳定的合作关系，始终以为客户提供更好的产品和零抱怨的服务为目标。</w:t>
      </w:r>
      <w:bookmarkEnd w:id="22"/>
    </w:p>
    <w:p>
      <w:pPr>
        <w:widowControl/>
        <w:spacing w:line="240" w:lineRule="auto"/>
        <w:ind w:firstLine="480" w:firstLineChars="200"/>
        <w:jc w:val="left"/>
        <w:rPr>
          <w:rFonts w:ascii="宋体" w:hAnsi="宋体"/>
        </w:rPr>
      </w:pPr>
      <w:r>
        <w:rPr>
          <w:rFonts w:ascii="宋体" w:hAnsi="宋体"/>
        </w:rPr>
        <w:br w:type="page"/>
      </w:r>
    </w:p>
    <w:p>
      <w:pPr>
        <w:pStyle w:val="3"/>
        <w:bidi w:val="0"/>
      </w:pPr>
      <w:r>
        <w:rPr>
          <w:rFonts w:hint="eastAsia"/>
        </w:rPr>
        <w:t xml:space="preserve"> </w:t>
      </w:r>
      <w:bookmarkStart w:id="23" w:name="_Toc15121"/>
      <w:r>
        <w:rPr>
          <w:rFonts w:hint="eastAsia"/>
        </w:rPr>
        <w:t>二、公司目前股权结构及股东情况</w:t>
      </w:r>
      <w:bookmarkEnd w:id="23"/>
      <w:r>
        <w:rPr>
          <w:rFonts w:hint="eastAsia"/>
        </w:rPr>
        <w:t xml:space="preserve"> </w:t>
      </w:r>
    </w:p>
    <w:p>
      <w:pPr>
        <w:ind w:firstLine="480"/>
        <w:rPr>
          <w:rFonts w:ascii="宋体" w:hAnsi="宋体"/>
        </w:rPr>
      </w:pPr>
      <w:bookmarkStart w:id="24" w:name="_Toc228505923"/>
      <w:bookmarkStart w:id="25" w:name="_Toc229469622"/>
      <w:bookmarkStart w:id="26" w:name="_Toc228431325"/>
      <w:bookmarkStart w:id="27" w:name="_Toc228433056"/>
      <w:bookmarkStart w:id="28" w:name="_Toc27074"/>
      <w:bookmarkStart w:id="29" w:name="_Toc236206515"/>
      <w:bookmarkStart w:id="30" w:name="_Toc236113118"/>
      <w:bookmarkStart w:id="31" w:name="_Toc236113875"/>
      <w:r>
        <w:rPr>
          <w:rFonts w:hint="eastAsia" w:ascii="宋体" w:hAnsi="宋体"/>
        </w:rPr>
        <w:t>（一）股权结构</w:t>
      </w:r>
      <w:bookmarkEnd w:id="24"/>
      <w:bookmarkEnd w:id="25"/>
      <w:bookmarkEnd w:id="26"/>
      <w:bookmarkEnd w:id="27"/>
      <w:r>
        <w:rPr>
          <w:rFonts w:hint="eastAsia" w:ascii="宋体" w:hAnsi="宋体"/>
        </w:rPr>
        <w:t>图</w:t>
      </w:r>
    </w:p>
    <w:tbl>
      <w:tblPr>
        <w:tblStyle w:val="13"/>
        <w:tblW w:w="854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836"/>
        <w:gridCol w:w="2410"/>
        <w:gridCol w:w="1134"/>
        <w:gridCol w:w="1111"/>
        <w:gridCol w:w="89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double" w:color="auto" w:sz="4" w:space="0"/>
              <w:left w:val="double" w:color="auto" w:sz="4" w:space="0"/>
              <w:right w:val="single" w:color="auto" w:sz="4" w:space="0"/>
            </w:tcBorders>
            <w:vAlign w:val="center"/>
          </w:tcPr>
          <w:p>
            <w:pPr>
              <w:jc w:val="center"/>
              <w:rPr>
                <w:rFonts w:ascii="宋体" w:hAnsi="宋体"/>
              </w:rPr>
            </w:pPr>
            <w:bookmarkStart w:id="32" w:name="_Hlk31887023"/>
            <w:r>
              <w:rPr>
                <w:rFonts w:hint="eastAsia" w:ascii="宋体" w:hAnsi="宋体"/>
              </w:rPr>
              <w:t>序号</w:t>
            </w:r>
          </w:p>
        </w:tc>
        <w:tc>
          <w:tcPr>
            <w:tcW w:w="836"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股东名称</w:t>
            </w:r>
          </w:p>
        </w:tc>
        <w:tc>
          <w:tcPr>
            <w:tcW w:w="2410"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1134"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认缴出资额（万元）</w:t>
            </w:r>
          </w:p>
        </w:tc>
        <w:tc>
          <w:tcPr>
            <w:tcW w:w="1111"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出资比例（%）</w:t>
            </w:r>
          </w:p>
        </w:tc>
        <w:tc>
          <w:tcPr>
            <w:tcW w:w="891" w:type="dxa"/>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出资方式</w:t>
            </w:r>
          </w:p>
        </w:tc>
        <w:tc>
          <w:tcPr>
            <w:tcW w:w="1579" w:type="dxa"/>
            <w:tcBorders>
              <w:top w:val="double" w:color="auto" w:sz="4" w:space="0"/>
              <w:left w:val="single" w:color="auto" w:sz="4" w:space="0"/>
              <w:right w:val="double" w:color="auto" w:sz="4" w:space="0"/>
            </w:tcBorders>
            <w:vAlign w:val="center"/>
          </w:tcPr>
          <w:p>
            <w:pPr>
              <w:jc w:val="center"/>
              <w:rPr>
                <w:rFonts w:ascii="宋体" w:hAnsi="宋体"/>
              </w:rPr>
            </w:pPr>
            <w:r>
              <w:rPr>
                <w:rFonts w:hint="eastAsia" w:ascii="宋体" w:hAnsi="宋体"/>
              </w:rPr>
              <w:t>认缴出资时间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left w:val="double" w:color="auto" w:sz="4" w:space="0"/>
              <w:right w:val="single" w:color="auto" w:sz="4" w:space="0"/>
            </w:tcBorders>
            <w:vAlign w:val="center"/>
          </w:tcPr>
          <w:p>
            <w:pPr>
              <w:jc w:val="center"/>
              <w:rPr>
                <w:rFonts w:ascii="宋体" w:hAnsi="宋体"/>
              </w:rPr>
            </w:pPr>
            <w:r>
              <w:rPr>
                <w:rFonts w:hint="eastAsia" w:ascii="宋体" w:hAnsi="宋体"/>
              </w:rPr>
              <w:t>1</w:t>
            </w:r>
          </w:p>
        </w:tc>
        <w:tc>
          <w:tcPr>
            <w:tcW w:w="836" w:type="dxa"/>
            <w:tcBorders>
              <w:left w:val="single" w:color="auto" w:sz="4" w:space="0"/>
              <w:right w:val="single" w:color="auto" w:sz="4" w:space="0"/>
            </w:tcBorders>
            <w:vAlign w:val="center"/>
          </w:tcPr>
          <w:p>
            <w:pPr>
              <w:jc w:val="center"/>
              <w:rPr>
                <w:rFonts w:ascii="宋体" w:hAnsi="宋体"/>
              </w:rPr>
            </w:pPr>
            <w:r>
              <w:rPr>
                <w:rFonts w:hint="eastAsia" w:ascii="宋体" w:hAnsi="宋体"/>
              </w:rPr>
              <w:t>王娟</w:t>
            </w:r>
          </w:p>
        </w:tc>
        <w:tc>
          <w:tcPr>
            <w:tcW w:w="2410" w:type="dxa"/>
            <w:tcBorders>
              <w:left w:val="single" w:color="auto" w:sz="4" w:space="0"/>
              <w:right w:val="single" w:color="auto" w:sz="4" w:space="0"/>
            </w:tcBorders>
            <w:vAlign w:val="center"/>
          </w:tcPr>
          <w:p>
            <w:pPr>
              <w:jc w:val="center"/>
              <w:rPr>
                <w:rFonts w:ascii="宋体" w:hAnsi="宋体"/>
              </w:rPr>
            </w:pPr>
            <w:r>
              <w:rPr>
                <w:rFonts w:ascii="宋体" w:hAnsi="宋体"/>
              </w:rPr>
              <w:t>370724198707156586</w:t>
            </w:r>
          </w:p>
        </w:tc>
        <w:tc>
          <w:tcPr>
            <w:tcW w:w="1134" w:type="dxa"/>
            <w:tcBorders>
              <w:left w:val="single" w:color="auto" w:sz="4" w:space="0"/>
              <w:right w:val="single" w:color="auto" w:sz="4" w:space="0"/>
            </w:tcBorders>
            <w:vAlign w:val="center"/>
          </w:tcPr>
          <w:p>
            <w:pPr>
              <w:jc w:val="center"/>
              <w:rPr>
                <w:rFonts w:ascii="宋体" w:hAnsi="宋体"/>
              </w:rPr>
            </w:pPr>
            <w:r>
              <w:rPr>
                <w:rFonts w:hint="eastAsia" w:ascii="宋体" w:hAnsi="宋体"/>
              </w:rPr>
              <w:t>3114</w:t>
            </w:r>
          </w:p>
        </w:tc>
        <w:tc>
          <w:tcPr>
            <w:tcW w:w="1111" w:type="dxa"/>
            <w:tcBorders>
              <w:left w:val="single" w:color="auto" w:sz="4" w:space="0"/>
              <w:right w:val="single" w:color="auto" w:sz="4" w:space="0"/>
            </w:tcBorders>
            <w:vAlign w:val="center"/>
          </w:tcPr>
          <w:p>
            <w:pPr>
              <w:jc w:val="center"/>
              <w:rPr>
                <w:rFonts w:ascii="宋体" w:hAnsi="宋体"/>
              </w:rPr>
            </w:pPr>
            <w:r>
              <w:rPr>
                <w:rFonts w:hint="eastAsia" w:ascii="宋体" w:hAnsi="宋体"/>
              </w:rPr>
              <w:t>100</w:t>
            </w:r>
          </w:p>
        </w:tc>
        <w:tc>
          <w:tcPr>
            <w:tcW w:w="891" w:type="dxa"/>
            <w:tcBorders>
              <w:left w:val="single" w:color="auto" w:sz="4" w:space="0"/>
              <w:right w:val="single" w:color="auto" w:sz="4" w:space="0"/>
            </w:tcBorders>
            <w:vAlign w:val="center"/>
          </w:tcPr>
          <w:p>
            <w:pPr>
              <w:jc w:val="center"/>
              <w:rPr>
                <w:rFonts w:ascii="宋体" w:hAnsi="宋体"/>
              </w:rPr>
            </w:pPr>
            <w:r>
              <w:rPr>
                <w:rFonts w:hint="eastAsia" w:ascii="宋体" w:hAnsi="宋体"/>
              </w:rPr>
              <w:t>货币</w:t>
            </w:r>
          </w:p>
        </w:tc>
        <w:tc>
          <w:tcPr>
            <w:tcW w:w="1579" w:type="dxa"/>
            <w:tcBorders>
              <w:left w:val="single" w:color="auto" w:sz="4" w:space="0"/>
              <w:right w:val="double" w:color="auto" w:sz="4" w:space="0"/>
            </w:tcBorders>
            <w:vAlign w:val="center"/>
          </w:tcPr>
          <w:p>
            <w:pPr>
              <w:jc w:val="center"/>
              <w:rPr>
                <w:rFonts w:ascii="宋体" w:hAnsi="宋体"/>
              </w:rPr>
            </w:pPr>
            <w:r>
              <w:rPr>
                <w:rFonts w:ascii="宋体" w:hAnsi="宋体"/>
              </w:rPr>
              <w:t>20</w:t>
            </w:r>
            <w:r>
              <w:rPr>
                <w:rFonts w:hint="eastAsia" w:ascii="宋体" w:hAnsi="宋体"/>
              </w:rPr>
              <w:t>48</w:t>
            </w:r>
            <w:r>
              <w:rPr>
                <w:rFonts w:ascii="宋体" w:hAnsi="宋体"/>
              </w:rPr>
              <w:t>-</w:t>
            </w:r>
            <w:r>
              <w:rPr>
                <w:rFonts w:hint="eastAsia" w:ascii="宋体" w:hAnsi="宋体"/>
              </w:rPr>
              <w:t>12</w:t>
            </w:r>
            <w:r>
              <w:rPr>
                <w:rFonts w:ascii="宋体" w:hAnsi="宋体"/>
              </w:rPr>
              <w:t>-</w:t>
            </w:r>
            <w:r>
              <w:rPr>
                <w:rFonts w:hint="eastAsia" w:ascii="宋体" w:hAnsi="宋体"/>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gridSpan w:val="2"/>
            <w:tcBorders>
              <w:left w:val="double" w:color="auto" w:sz="4" w:space="0"/>
              <w:right w:val="single" w:color="auto" w:sz="4" w:space="0"/>
            </w:tcBorders>
            <w:vAlign w:val="center"/>
          </w:tcPr>
          <w:p>
            <w:pPr>
              <w:jc w:val="center"/>
              <w:rPr>
                <w:rFonts w:ascii="宋体" w:hAnsi="宋体"/>
              </w:rPr>
            </w:pPr>
            <w:r>
              <w:rPr>
                <w:rFonts w:hint="eastAsia" w:ascii="宋体" w:hAnsi="宋体"/>
              </w:rPr>
              <w:t>合计</w:t>
            </w:r>
          </w:p>
        </w:tc>
        <w:tc>
          <w:tcPr>
            <w:tcW w:w="2410" w:type="dxa"/>
            <w:tcBorders>
              <w:left w:val="single" w:color="auto" w:sz="4" w:space="0"/>
              <w:right w:val="single" w:color="auto" w:sz="4" w:space="0"/>
            </w:tcBorders>
            <w:vAlign w:val="center"/>
          </w:tcPr>
          <w:p>
            <w:pPr>
              <w:jc w:val="center"/>
              <w:rPr>
                <w:rFonts w:ascii="宋体" w:hAnsi="宋体"/>
              </w:rPr>
            </w:pPr>
            <w:r>
              <w:rPr>
                <w:rFonts w:hint="eastAsia" w:ascii="宋体" w:hAnsi="宋体"/>
              </w:rPr>
              <w:t>-</w:t>
            </w:r>
          </w:p>
        </w:tc>
        <w:tc>
          <w:tcPr>
            <w:tcW w:w="1134" w:type="dxa"/>
            <w:tcBorders>
              <w:left w:val="single" w:color="auto" w:sz="4" w:space="0"/>
              <w:right w:val="single" w:color="auto" w:sz="4" w:space="0"/>
            </w:tcBorders>
            <w:vAlign w:val="center"/>
          </w:tcPr>
          <w:p>
            <w:pPr>
              <w:jc w:val="center"/>
              <w:rPr>
                <w:rFonts w:ascii="宋体" w:hAnsi="宋体"/>
              </w:rPr>
            </w:pPr>
            <w:r>
              <w:rPr>
                <w:rFonts w:hint="eastAsia" w:ascii="宋体" w:hAnsi="宋体"/>
              </w:rPr>
              <w:t>3114</w:t>
            </w:r>
          </w:p>
        </w:tc>
        <w:tc>
          <w:tcPr>
            <w:tcW w:w="1111" w:type="dxa"/>
            <w:tcBorders>
              <w:left w:val="single" w:color="auto" w:sz="4" w:space="0"/>
              <w:right w:val="single" w:color="auto" w:sz="4" w:space="0"/>
            </w:tcBorders>
            <w:vAlign w:val="center"/>
          </w:tcPr>
          <w:p>
            <w:pPr>
              <w:jc w:val="center"/>
              <w:rPr>
                <w:rFonts w:ascii="宋体" w:hAnsi="宋体"/>
              </w:rPr>
            </w:pPr>
            <w:r>
              <w:rPr>
                <w:rFonts w:hint="eastAsia" w:ascii="宋体" w:hAnsi="宋体"/>
              </w:rPr>
              <w:t>100</w:t>
            </w:r>
          </w:p>
        </w:tc>
        <w:tc>
          <w:tcPr>
            <w:tcW w:w="891" w:type="dxa"/>
            <w:tcBorders>
              <w:left w:val="single" w:color="auto" w:sz="4" w:space="0"/>
              <w:right w:val="single" w:color="auto" w:sz="4" w:space="0"/>
            </w:tcBorders>
            <w:vAlign w:val="center"/>
          </w:tcPr>
          <w:p>
            <w:pPr>
              <w:jc w:val="center"/>
              <w:rPr>
                <w:rFonts w:ascii="宋体" w:hAnsi="宋体"/>
              </w:rPr>
            </w:pPr>
            <w:r>
              <w:rPr>
                <w:rFonts w:hint="eastAsia" w:ascii="宋体" w:hAnsi="宋体"/>
              </w:rPr>
              <w:t>-</w:t>
            </w:r>
          </w:p>
        </w:tc>
        <w:tc>
          <w:tcPr>
            <w:tcW w:w="1579" w:type="dxa"/>
            <w:tcBorders>
              <w:left w:val="single" w:color="auto" w:sz="4" w:space="0"/>
              <w:right w:val="double" w:color="auto" w:sz="4" w:space="0"/>
            </w:tcBorders>
            <w:vAlign w:val="center"/>
          </w:tcPr>
          <w:p>
            <w:pPr>
              <w:jc w:val="center"/>
              <w:rPr>
                <w:rFonts w:ascii="宋体" w:hAnsi="宋体"/>
              </w:rPr>
            </w:pPr>
            <w:r>
              <w:rPr>
                <w:rFonts w:hint="eastAsia" w:ascii="宋体" w:hAnsi="宋体"/>
              </w:rPr>
              <w:t>-</w:t>
            </w:r>
          </w:p>
        </w:tc>
      </w:tr>
      <w:bookmarkEnd w:id="32"/>
    </w:tbl>
    <w:p>
      <w:pPr>
        <w:rPr>
          <w:rFonts w:ascii="宋体" w:hAnsi="宋体"/>
        </w:rPr>
      </w:pPr>
      <w:r>
        <w:rPr>
          <w:rFonts w:hint="eastAsia" w:ascii="宋体" w:hAnsi="宋体"/>
        </w:rPr>
        <w:drawing>
          <wp:anchor distT="0" distB="0" distL="114300" distR="114300" simplePos="0" relativeHeight="251660288" behindDoc="0" locked="0" layoutInCell="1" allowOverlap="1">
            <wp:simplePos x="0" y="0"/>
            <wp:positionH relativeFrom="margin">
              <wp:posOffset>6350</wp:posOffset>
            </wp:positionH>
            <wp:positionV relativeFrom="paragraph">
              <wp:posOffset>293370</wp:posOffset>
            </wp:positionV>
            <wp:extent cx="5422900" cy="3076575"/>
            <wp:effectExtent l="5080" t="4445" r="12700" b="6350"/>
            <wp:wrapSquare wrapText="bothSides"/>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ind w:firstLine="480"/>
        <w:rPr>
          <w:rFonts w:ascii="宋体" w:hAnsi="宋体"/>
        </w:rPr>
      </w:pPr>
      <w:r>
        <w:rPr>
          <w:rFonts w:hint="eastAsia" w:ascii="宋体" w:hAnsi="宋体"/>
        </w:rPr>
        <w:object>
          <v:shape id="_x0000_i1026" o:spt="75" type="#_x0000_t75" style="height:5pt;width:5pt;" o:ole="t" filled="f" o:preferrelative="t" stroked="f" coordsize="21600,21600">
            <v:path/>
            <v:fill on="f" focussize="0,0"/>
            <v:stroke on="f" joinstyle="miter"/>
            <v:imagedata o:title=""/>
            <o:lock v:ext="edit" aspectratio="t"/>
            <w10:wrap type="none"/>
            <w10:anchorlock/>
          </v:shape>
          <o:OLEObject Type="Embed" ProgID="Excel.Chart.8" ShapeID="_x0000_i1026" DrawAspect="Content" ObjectID="_1468075725" r:id="rId9">
            <o:LockedField>false</o:LockedField>
          </o:OLEObject>
        </w:object>
      </w:r>
      <w:r>
        <w:rPr>
          <w:rFonts w:hint="eastAsia" w:ascii="宋体" w:hAnsi="宋体"/>
        </w:rPr>
        <w:t>公司股东王娟为于中国境内拥有住所的自然人，具有完全民事权利能力和完全民事行为能力，持有公司100%的股权，符合《公司法》、《中华人民共和国公司登记管理条例》等法律、行政法规和规范性文件规定的担任股东的资格。</w:t>
      </w:r>
    </w:p>
    <w:bookmarkEnd w:id="28"/>
    <w:bookmarkEnd w:id="29"/>
    <w:bookmarkEnd w:id="30"/>
    <w:bookmarkEnd w:id="31"/>
    <w:p>
      <w:pPr>
        <w:numPr>
          <w:ilvl w:val="0"/>
          <w:numId w:val="1"/>
        </w:numPr>
        <w:ind w:firstLine="480"/>
        <w:rPr>
          <w:rFonts w:ascii="宋体" w:hAnsi="宋体"/>
        </w:rPr>
      </w:pPr>
      <w:r>
        <w:rPr>
          <w:rFonts w:hint="eastAsia" w:ascii="宋体" w:hAnsi="宋体"/>
        </w:rPr>
        <w:t>公司控股股东、实际控制人情况</w:t>
      </w:r>
    </w:p>
    <w:p>
      <w:pPr>
        <w:ind w:firstLine="480"/>
        <w:rPr>
          <w:rFonts w:ascii="宋体" w:hAnsi="宋体"/>
          <w:kern w:val="0"/>
        </w:rPr>
      </w:pPr>
      <w:bookmarkStart w:id="33" w:name="_Hlk44493345"/>
      <w:bookmarkStart w:id="34" w:name="_Hlk31887051"/>
      <w:bookmarkStart w:id="35" w:name="_Hlk57818257"/>
      <w:bookmarkStart w:id="36" w:name="_Hlk57234412"/>
      <w:r>
        <w:rPr>
          <w:rFonts w:hint="eastAsia" w:ascii="宋体" w:hAnsi="宋体"/>
          <w:kern w:val="0"/>
        </w:rPr>
        <w:t>根据公司的工商登记材料，公司股东王娟持有公司100%的股权,公司自成立至今，王娟一直担任公司的执行董事、法定代表人，为公司的领导核心，其对公司的日常经营管理处于核心地位，对公司的发展战略等重大决策事项具有决定性影响力，所以本推荐机构认定王娟为公司的控股股东、实际控制人。</w:t>
      </w:r>
    </w:p>
    <w:bookmarkEnd w:id="33"/>
    <w:p>
      <w:pPr>
        <w:ind w:firstLine="480"/>
        <w:rPr>
          <w:rFonts w:hint="eastAsia" w:ascii="宋体" w:hAnsi="宋体"/>
          <w:kern w:val="0"/>
        </w:rPr>
      </w:pPr>
      <w:bookmarkStart w:id="37" w:name="_Hlk49501709"/>
    </w:p>
    <w:p>
      <w:pPr>
        <w:ind w:firstLine="480"/>
        <w:rPr>
          <w:rFonts w:ascii="宋体" w:hAnsi="宋体"/>
          <w:kern w:val="0"/>
        </w:rPr>
      </w:pPr>
      <w:r>
        <w:rPr>
          <w:rFonts w:hint="eastAsia" w:ascii="宋体" w:hAnsi="宋体"/>
          <w:kern w:val="0"/>
        </w:rPr>
        <w:t>王娟:</w:t>
      </w:r>
      <w:bookmarkEnd w:id="34"/>
    </w:p>
    <w:p>
      <w:pPr>
        <w:ind w:firstLine="480"/>
        <w:rPr>
          <w:rFonts w:ascii="宋体" w:hAnsi="宋体"/>
          <w:kern w:val="0"/>
        </w:rPr>
      </w:pPr>
      <w:r>
        <w:rPr>
          <w:rFonts w:hint="eastAsia" w:ascii="宋体" w:hAnsi="宋体"/>
          <w:kern w:val="0"/>
        </w:rPr>
        <w:t>王娟，女，34岁，汉族，中华人民共和国国籍，无境外永久居留权，2010年-2015年在山东圣光化工集团有限公司担任生产经理一职，2015年-2018年在山东紫翔化工销售有限公司担任公司高管，2</w:t>
      </w:r>
      <w:r>
        <w:rPr>
          <w:rFonts w:ascii="宋体" w:hAnsi="宋体"/>
          <w:kern w:val="0"/>
        </w:rPr>
        <w:t>0</w:t>
      </w:r>
      <w:r>
        <w:rPr>
          <w:rFonts w:hint="eastAsia" w:ascii="宋体" w:hAnsi="宋体"/>
          <w:kern w:val="0"/>
        </w:rPr>
        <w:t>18年至今在山东正扬新材料有限公司担任执行董事职位，持有公司100%股权。</w:t>
      </w:r>
      <w:bookmarkEnd w:id="35"/>
      <w:bookmarkEnd w:id="36"/>
      <w:bookmarkEnd w:id="37"/>
    </w:p>
    <w:p>
      <w:pPr>
        <w:pStyle w:val="3"/>
        <w:ind w:left="0" w:leftChars="0" w:firstLine="562" w:firstLineChars="200"/>
        <w:jc w:val="left"/>
      </w:pPr>
      <w:bookmarkStart w:id="38" w:name="_Toc1193"/>
      <w:r>
        <w:rPr>
          <w:rFonts w:hint="eastAsia"/>
        </w:rPr>
        <w:t>三、公司组织结构</w:t>
      </w:r>
      <w:bookmarkEnd w:id="38"/>
    </w:p>
    <w:p/>
    <w:p>
      <w:pPr>
        <w:jc w:val="center"/>
        <w:rPr>
          <w:rFonts w:ascii="宋体" w:hAnsi="宋体" w:cs="宋体"/>
          <w:kern w:val="0"/>
          <w:lang w:bidi="ar"/>
        </w:rPr>
      </w:pPr>
      <w:r>
        <w:rPr>
          <w:rFonts w:ascii="宋体" w:hAnsi="宋体" w:cs="宋体"/>
          <w:kern w:val="0"/>
          <w:lang w:bidi="ar"/>
        </w:rPr>
        <w:drawing>
          <wp:inline distT="0" distB="0" distL="0" distR="0">
            <wp:extent cx="5270500" cy="3251200"/>
            <wp:effectExtent l="0" t="0" r="825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3251200"/>
                    </a:xfrm>
                    <a:prstGeom prst="rect">
                      <a:avLst/>
                    </a:prstGeom>
                    <a:noFill/>
                    <a:ln>
                      <a:noFill/>
                    </a:ln>
                  </pic:spPr>
                </pic:pic>
              </a:graphicData>
            </a:graphic>
          </wp:inline>
        </w:drawing>
      </w:r>
    </w:p>
    <w:p>
      <w:pPr>
        <w:pStyle w:val="3"/>
        <w:ind w:left="480"/>
        <w:rPr>
          <w:rFonts w:ascii="仿宋" w:hAnsi="仿宋" w:eastAsia="仿宋" w:cs="仿宋"/>
          <w:szCs w:val="32"/>
        </w:rPr>
      </w:pPr>
      <w:bookmarkStart w:id="39" w:name="_Toc31719"/>
      <w:r>
        <w:rPr>
          <w:rFonts w:hint="eastAsia"/>
        </w:rPr>
        <w:t>四、公司主营业务情况</w:t>
      </w:r>
      <w:bookmarkEnd w:id="39"/>
    </w:p>
    <w:p>
      <w:pPr>
        <w:ind w:firstLine="480" w:firstLineChars="200"/>
      </w:pPr>
      <w:bookmarkStart w:id="40" w:name="_Hlk57818308"/>
      <w:r>
        <w:rPr>
          <w:rFonts w:hint="eastAsia"/>
        </w:rPr>
        <w:t>（一）主要产品或服务内容</w:t>
      </w:r>
    </w:p>
    <w:p>
      <w:pPr>
        <w:ind w:firstLine="480"/>
      </w:pPr>
      <w:bookmarkStart w:id="41" w:name="_Hlk31887148"/>
      <w:bookmarkStart w:id="42" w:name="_Hlk44493396"/>
      <w:r>
        <w:rPr>
          <w:rFonts w:hint="eastAsia"/>
        </w:rPr>
        <w:t>山东正扬注于PTFE制品的加工制造，拥有聚四氟乙烯功能膜、聚四氟乙烯板、聚四氟乙烯工程塑料三大产业板块，是集科研、生产、经营和对外贸易为一体的高新技术企业，主要产品包括四氟板、车削板、模压板、四氟棒、四氟管、口罩膜、服装膜、超滤膜、电子膜、工业膜等。</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3162"/>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tcPr>
          <w:p>
            <w:pPr>
              <w:jc w:val="center"/>
            </w:pPr>
            <w:bookmarkStart w:id="43" w:name="_Hlk57220249"/>
            <w:r>
              <w:rPr>
                <w:rFonts w:hint="eastAsia"/>
              </w:rPr>
              <w:t>序号</w:t>
            </w:r>
          </w:p>
        </w:tc>
        <w:tc>
          <w:tcPr>
            <w:tcW w:w="1855" w:type="pct"/>
          </w:tcPr>
          <w:p>
            <w:pPr>
              <w:jc w:val="center"/>
            </w:pPr>
            <w:r>
              <w:rPr>
                <w:rFonts w:hint="eastAsia"/>
              </w:rPr>
              <w:t>产品名称</w:t>
            </w:r>
          </w:p>
        </w:tc>
        <w:tc>
          <w:tcPr>
            <w:tcW w:w="2693" w:type="pct"/>
          </w:tcPr>
          <w:p>
            <w:pPr>
              <w:jc w:val="center"/>
            </w:pPr>
            <w:r>
              <w:rPr>
                <w:rFonts w:hint="eastAsia"/>
              </w:rPr>
              <w:t>产品展示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pPr>
            <w:r>
              <w:rPr>
                <w:rFonts w:hint="eastAsia"/>
              </w:rPr>
              <w:t>1</w:t>
            </w:r>
          </w:p>
        </w:tc>
        <w:tc>
          <w:tcPr>
            <w:tcW w:w="1855" w:type="pct"/>
            <w:vAlign w:val="center"/>
          </w:tcPr>
          <w:p>
            <w:pPr>
              <w:jc w:val="center"/>
            </w:pPr>
            <w:r>
              <w:rPr>
                <w:rFonts w:hint="eastAsia" w:ascii="宋体" w:hAnsi="宋体"/>
              </w:rPr>
              <w:t>聚四氟乙烯车削板</w:t>
            </w:r>
          </w:p>
        </w:tc>
        <w:tc>
          <w:tcPr>
            <w:tcW w:w="2693" w:type="pct"/>
          </w:tcPr>
          <w:p>
            <w:pPr>
              <w:jc w:val="center"/>
            </w:pPr>
            <w:r>
              <w:drawing>
                <wp:inline distT="0" distB="0" distL="0" distR="0">
                  <wp:extent cx="1403350" cy="10712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1416048" cy="108148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pPr>
            <w:r>
              <w:rPr>
                <w:rFonts w:hint="eastAsia"/>
              </w:rPr>
              <w:t>2</w:t>
            </w:r>
          </w:p>
        </w:tc>
        <w:tc>
          <w:tcPr>
            <w:tcW w:w="1855" w:type="pct"/>
            <w:vAlign w:val="center"/>
          </w:tcPr>
          <w:p>
            <w:pPr>
              <w:jc w:val="center"/>
              <w:rPr>
                <w:rFonts w:ascii="宋体" w:hAnsi="宋体" w:cs="宋体"/>
              </w:rPr>
            </w:pPr>
            <w:r>
              <w:rPr>
                <w:rFonts w:hint="eastAsia" w:ascii="宋体" w:hAnsi="宋体" w:cs="宋体"/>
              </w:rPr>
              <w:t>聚四氟乙烯棒</w:t>
            </w:r>
          </w:p>
        </w:tc>
        <w:tc>
          <w:tcPr>
            <w:tcW w:w="2693" w:type="pct"/>
          </w:tcPr>
          <w:p>
            <w:pPr>
              <w:jc w:val="center"/>
            </w:pPr>
            <w:r>
              <w:drawing>
                <wp:inline distT="0" distB="0" distL="0" distR="0">
                  <wp:extent cx="1346200" cy="1014095"/>
                  <wp:effectExtent l="0" t="0" r="317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1353719" cy="101992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pPr>
            <w:r>
              <w:rPr>
                <w:rFonts w:hint="eastAsia"/>
              </w:rPr>
              <w:t>3</w:t>
            </w:r>
          </w:p>
        </w:tc>
        <w:tc>
          <w:tcPr>
            <w:tcW w:w="1855" w:type="pct"/>
            <w:vAlign w:val="center"/>
          </w:tcPr>
          <w:p>
            <w:pPr>
              <w:jc w:val="center"/>
            </w:pPr>
            <w:r>
              <w:rPr>
                <w:rFonts w:hint="eastAsia" w:ascii="宋体" w:hAnsi="宋体"/>
              </w:rPr>
              <w:t>聚四氟乙烯垫片</w:t>
            </w:r>
          </w:p>
        </w:tc>
        <w:tc>
          <w:tcPr>
            <w:tcW w:w="2693" w:type="pct"/>
          </w:tcPr>
          <w:p>
            <w:pPr>
              <w:jc w:val="center"/>
            </w:pPr>
            <w:r>
              <w:drawing>
                <wp:inline distT="0" distB="0" distL="0" distR="0">
                  <wp:extent cx="1377950" cy="1073785"/>
                  <wp:effectExtent l="0" t="0" r="381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1387832" cy="10815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pPr>
            <w:r>
              <w:rPr>
                <w:rFonts w:hint="eastAsia"/>
              </w:rPr>
              <w:t>4</w:t>
            </w:r>
          </w:p>
        </w:tc>
        <w:tc>
          <w:tcPr>
            <w:tcW w:w="1855" w:type="pct"/>
            <w:vAlign w:val="center"/>
          </w:tcPr>
          <w:p>
            <w:pPr>
              <w:jc w:val="center"/>
            </w:pPr>
            <w:r>
              <w:rPr>
                <w:rFonts w:hint="eastAsia"/>
              </w:rPr>
              <w:t>聚四氟乙烯管</w:t>
            </w:r>
          </w:p>
        </w:tc>
        <w:tc>
          <w:tcPr>
            <w:tcW w:w="2693" w:type="pct"/>
          </w:tcPr>
          <w:p>
            <w:pPr>
              <w:jc w:val="center"/>
            </w:pPr>
            <w:r>
              <w:drawing>
                <wp:inline distT="0" distB="0" distL="0" distR="0">
                  <wp:extent cx="1263650" cy="1488440"/>
                  <wp:effectExtent l="0" t="0" r="1016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1267203" cy="1492722"/>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pPr>
            <w:r>
              <w:rPr>
                <w:rFonts w:hint="eastAsia"/>
              </w:rPr>
              <w:t>5</w:t>
            </w:r>
          </w:p>
        </w:tc>
        <w:tc>
          <w:tcPr>
            <w:tcW w:w="1855" w:type="pct"/>
            <w:vAlign w:val="center"/>
          </w:tcPr>
          <w:p>
            <w:pPr>
              <w:jc w:val="center"/>
            </w:pPr>
            <w:r>
              <w:rPr>
                <w:rFonts w:hint="eastAsia"/>
              </w:rPr>
              <w:t>聚四氟乙烯模压板</w:t>
            </w:r>
          </w:p>
        </w:tc>
        <w:tc>
          <w:tcPr>
            <w:tcW w:w="2693" w:type="pct"/>
          </w:tcPr>
          <w:p>
            <w:pPr>
              <w:jc w:val="center"/>
            </w:pPr>
            <w:r>
              <w:drawing>
                <wp:inline distT="0" distB="0" distL="0" distR="0">
                  <wp:extent cx="1377950" cy="1022350"/>
                  <wp:effectExtent l="0" t="0" r="381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1387015" cy="1029158"/>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pct"/>
            <w:vAlign w:val="center"/>
          </w:tcPr>
          <w:p>
            <w:pPr>
              <w:jc w:val="center"/>
            </w:pPr>
            <w:r>
              <w:rPr>
                <w:rFonts w:hint="eastAsia"/>
              </w:rPr>
              <w:t>6</w:t>
            </w:r>
          </w:p>
        </w:tc>
        <w:tc>
          <w:tcPr>
            <w:tcW w:w="1855" w:type="pct"/>
            <w:vAlign w:val="center"/>
          </w:tcPr>
          <w:p>
            <w:pPr>
              <w:jc w:val="center"/>
            </w:pPr>
            <w:r>
              <w:rPr>
                <w:rFonts w:hint="eastAsia"/>
              </w:rPr>
              <w:t>聚四氟乙烯车削膜</w:t>
            </w:r>
          </w:p>
        </w:tc>
        <w:tc>
          <w:tcPr>
            <w:tcW w:w="2693" w:type="pct"/>
          </w:tcPr>
          <w:p>
            <w:pPr>
              <w:jc w:val="center"/>
            </w:pPr>
            <w:r>
              <w:drawing>
                <wp:inline distT="0" distB="0" distL="0" distR="0">
                  <wp:extent cx="1511300" cy="1163320"/>
                  <wp:effectExtent l="0" t="0" r="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1517974" cy="1168632"/>
                          </a:xfrm>
                          <a:prstGeom prst="rect">
                            <a:avLst/>
                          </a:prstGeom>
                        </pic:spPr>
                      </pic:pic>
                    </a:graphicData>
                  </a:graphic>
                </wp:inline>
              </w:drawing>
            </w:r>
          </w:p>
        </w:tc>
      </w:tr>
      <w:bookmarkEnd w:id="40"/>
      <w:bookmarkEnd w:id="41"/>
      <w:bookmarkEnd w:id="42"/>
      <w:bookmarkEnd w:id="43"/>
    </w:tbl>
    <w:p>
      <w:pPr>
        <w:rPr>
          <w:rFonts w:ascii="宋体" w:hAnsi="宋体" w:cs="宋体"/>
        </w:rPr>
      </w:pPr>
    </w:p>
    <w:p>
      <w:pPr>
        <w:ind w:firstLine="480" w:firstLineChars="200"/>
        <w:rPr>
          <w:rFonts w:ascii="宋体" w:hAnsi="宋体"/>
        </w:rPr>
      </w:pPr>
      <w:r>
        <w:rPr>
          <w:rFonts w:hint="eastAsia" w:ascii="宋体" w:hAnsi="宋体"/>
        </w:rPr>
        <w:t>（二）主要商业模式</w:t>
      </w:r>
    </w:p>
    <w:p>
      <w:pPr>
        <w:ind w:firstLine="480"/>
        <w:rPr>
          <w:rFonts w:ascii="宋体" w:hAnsi="宋体" w:cs="宋体"/>
          <w:color w:val="000000" w:themeColor="text1"/>
          <w14:textFill>
            <w14:solidFill>
              <w14:schemeClr w14:val="tx1"/>
            </w14:solidFill>
          </w14:textFill>
        </w:rPr>
      </w:pPr>
      <w:bookmarkStart w:id="44" w:name="_Hlk31887174"/>
      <w:bookmarkStart w:id="45" w:name="_Hlk49460693"/>
      <w:bookmarkStart w:id="46" w:name="_Hlk57818384"/>
      <w:r>
        <w:rPr>
          <w:rFonts w:hint="eastAsia" w:ascii="宋体" w:hAnsi="宋体" w:cs="宋体"/>
          <w:color w:val="000000" w:themeColor="text1"/>
          <w14:textFill>
            <w14:solidFill>
              <w14:schemeClr w14:val="tx1"/>
            </w14:solidFill>
          </w14:textFill>
        </w:rPr>
        <w:t>1、研发模式</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公司设立了研发部门，并组建了专业的研发团队，致力于聚四氟乙烯新材料制品的研究开发工作。经过多年摸索和经验的积累，公司形成了集生产、销售、研发于一体的</w:t>
      </w:r>
      <w:r>
        <w:rPr>
          <w:rFonts w:hint="eastAsia" w:ascii="宋体" w:hAnsi="宋体" w:cs="宋体"/>
          <w:color w:val="000000" w:themeColor="text1"/>
          <w:lang w:val="en-US" w:eastAsia="zh-CN"/>
          <w14:textFill>
            <w14:solidFill>
              <w14:schemeClr w14:val="tx1"/>
            </w14:solidFill>
          </w14:textFill>
        </w:rPr>
        <w:t>研发</w:t>
      </w:r>
      <w:r>
        <w:rPr>
          <w:rFonts w:hint="eastAsia" w:ascii="宋体" w:hAnsi="宋体" w:cs="宋体"/>
          <w:color w:val="000000" w:themeColor="text1"/>
          <w14:textFill>
            <w14:solidFill>
              <w14:schemeClr w14:val="tx1"/>
            </w14:solidFill>
          </w14:textFill>
        </w:rPr>
        <w:t>模式，并在此过程中不断提升自身的技术研发优势。</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2、采购模式</w:t>
      </w:r>
    </w:p>
    <w:p>
      <w:pPr>
        <w:pStyle w:val="24"/>
        <w:numPr>
          <w:ilvl w:val="255"/>
          <w:numId w:val="0"/>
        </w:numPr>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公司主要根据过往销售情况确定原材料需求，通过合格供应商的价格对比， 综合评估后最终确定原材料的采购价格及采购数量。为满足公司正常生产及销售的需要，避免原材料紧缺，公司一般提前采购一定数量的原材料作为生产储备。在实际经营过程中，公司市场部对原材料库存进行实时监控，当原材料库存少于公司近期生产需求时，及时安排原材料的采购。另外，公司结合原材料价格的市场波动情况，在原材料价格相对较低的区间内采购额外的原材料作为生产储备， 以达到平滑采购价格、降低生产成本的目的。</w:t>
      </w:r>
    </w:p>
    <w:p>
      <w:pPr>
        <w:pStyle w:val="24"/>
        <w:numPr>
          <w:ilvl w:val="255"/>
          <w:numId w:val="0"/>
        </w:numPr>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3、生产模式</w:t>
      </w:r>
    </w:p>
    <w:bookmarkEnd w:id="44"/>
    <w:p>
      <w:pPr>
        <w:pStyle w:val="24"/>
        <w:numPr>
          <w:ilvl w:val="255"/>
          <w:numId w:val="0"/>
        </w:numPr>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司产品的生产周期较短，多数产品生产周期在一周以内，如若出现应急订单，公司也可以通过合理安排生产实现当天生产、当天发货，仅少数特殊定制产品的生产周期约为一个月，故公司采用“以销定产”的生产模式，根据订单的数量安排生产。另外，为降低违约风险，公司往往根据客户的信誉程度选择不同的生产模式。对于信誉程度较高的老客户，公司在与其签订销售合同之后立即安排生产；对于新开发客户，公司一般在预收部分或者全部货款后再安排生产。</w:t>
      </w:r>
    </w:p>
    <w:p>
      <w:pPr>
        <w:pStyle w:val="24"/>
        <w:numPr>
          <w:ilvl w:val="255"/>
          <w:numId w:val="0"/>
        </w:numPr>
        <w:ind w:firstLine="480" w:firstLineChars="200"/>
      </w:pPr>
      <w:r>
        <w:rPr>
          <w:rFonts w:hint="eastAsia"/>
        </w:rPr>
        <w:t>4、销售模式</w:t>
      </w:r>
    </w:p>
    <w:bookmarkEnd w:id="45"/>
    <w:p>
      <w:pPr>
        <w:ind w:firstLine="480" w:firstLineChars="200"/>
      </w:pPr>
      <w:r>
        <w:rPr>
          <w:rFonts w:hint="eastAsia"/>
        </w:rPr>
        <w:t>公司大部分产品采取直销模式，仅少部分产品采用经销模式销售。对于经常往来的老客户，公司采用电话、邮件等实时沟通方式了解客户需求，讨论新产品研发的可能性；对于少数不经常往来的客户，每隔三个月通过实地走访的方式， 了解客户需求，讨论持续合作的可能性。公司主要通过阿里巴巴等线上平台以及国内外大型展会等线下平台宣传公司产品，开发新客户。近来公司也开始采用投标方式开拓市场。</w:t>
      </w:r>
    </w:p>
    <w:bookmarkEnd w:id="46"/>
    <w:p>
      <w:pPr>
        <w:pStyle w:val="3"/>
        <w:ind w:left="480"/>
      </w:pPr>
      <w:bookmarkStart w:id="47" w:name="_Toc4754"/>
      <w:r>
        <w:rPr>
          <w:rFonts w:hint="eastAsia"/>
        </w:rPr>
        <w:t>五、公司财务报表简表</w:t>
      </w:r>
      <w:bookmarkEnd w:id="47"/>
    </w:p>
    <w:p>
      <w:pPr>
        <w:numPr>
          <w:ilvl w:val="0"/>
          <w:numId w:val="2"/>
        </w:numPr>
        <w:ind w:firstLine="480"/>
        <w:rPr>
          <w:rFonts w:ascii="宋体" w:hAnsi="宋体"/>
        </w:rPr>
      </w:pPr>
      <w:bookmarkStart w:id="48" w:name="_Toc248204895"/>
      <w:r>
        <w:rPr>
          <w:rFonts w:hint="eastAsia" w:ascii="宋体" w:hAnsi="宋体"/>
        </w:rPr>
        <w:t>资产负债表</w:t>
      </w:r>
      <w:bookmarkEnd w:id="48"/>
      <w:bookmarkStart w:id="49" w:name="_Toc248204896"/>
    </w:p>
    <w:tbl>
      <w:tblPr>
        <w:tblStyle w:val="13"/>
        <w:tblW w:w="5000" w:type="pct"/>
        <w:tblInd w:w="0" w:type="dxa"/>
        <w:tblLayout w:type="autofit"/>
        <w:tblCellMar>
          <w:top w:w="0" w:type="dxa"/>
          <w:left w:w="108" w:type="dxa"/>
          <w:bottom w:w="0" w:type="dxa"/>
          <w:right w:w="108" w:type="dxa"/>
        </w:tblCellMar>
      </w:tblPr>
      <w:tblGrid>
        <w:gridCol w:w="3492"/>
        <w:gridCol w:w="983"/>
        <w:gridCol w:w="1303"/>
        <w:gridCol w:w="1372"/>
        <w:gridCol w:w="1372"/>
      </w:tblGrid>
      <w:tr>
        <w:tblPrEx>
          <w:tblCellMar>
            <w:top w:w="0" w:type="dxa"/>
            <w:left w:w="108" w:type="dxa"/>
            <w:bottom w:w="0" w:type="dxa"/>
            <w:right w:w="108" w:type="dxa"/>
          </w:tblCellMar>
        </w:tblPrEx>
        <w:trPr>
          <w:trHeight w:val="510" w:hRule="atLeast"/>
        </w:trPr>
        <w:tc>
          <w:tcPr>
            <w:tcW w:w="5000" w:type="pct"/>
            <w:gridSpan w:val="5"/>
            <w:tcBorders>
              <w:top w:val="nil"/>
              <w:left w:val="nil"/>
              <w:bottom w:val="nil"/>
              <w:right w:val="nil"/>
            </w:tcBorders>
            <w:shd w:val="clear" w:color="auto" w:fill="auto"/>
            <w:noWrap/>
            <w:vAlign w:val="center"/>
          </w:tcPr>
          <w:p>
            <w:pPr>
              <w:widowControl/>
              <w:spacing w:line="240" w:lineRule="auto"/>
              <w:jc w:val="center"/>
              <w:rPr>
                <w:rFonts w:ascii="宋体" w:hAnsi="宋体" w:cs="宋体"/>
                <w:b/>
                <w:bCs/>
                <w:kern w:val="0"/>
              </w:rPr>
            </w:pPr>
            <w:r>
              <w:rPr>
                <w:rFonts w:hint="eastAsia" w:ascii="宋体" w:hAnsi="宋体" w:cs="宋体"/>
                <w:b/>
                <w:bCs/>
                <w:kern w:val="0"/>
              </w:rPr>
              <w:t>资产负债表</w:t>
            </w:r>
          </w:p>
        </w:tc>
      </w:tr>
      <w:tr>
        <w:tblPrEx>
          <w:tblCellMar>
            <w:top w:w="0" w:type="dxa"/>
            <w:left w:w="108" w:type="dxa"/>
            <w:bottom w:w="0" w:type="dxa"/>
            <w:right w:w="108" w:type="dxa"/>
          </w:tblCellMar>
        </w:tblPrEx>
        <w:trPr>
          <w:trHeight w:val="315" w:hRule="atLeast"/>
        </w:trPr>
        <w:tc>
          <w:tcPr>
            <w:tcW w:w="3929" w:type="pct"/>
            <w:gridSpan w:val="4"/>
            <w:tcBorders>
              <w:top w:val="nil"/>
              <w:left w:val="nil"/>
              <w:bottom w:val="nil"/>
              <w:right w:val="nil"/>
            </w:tcBorders>
            <w:shd w:val="clear" w:color="auto" w:fill="auto"/>
            <w:noWrap/>
            <w:vAlign w:val="center"/>
          </w:tcPr>
          <w:p>
            <w:pPr>
              <w:widowControl/>
              <w:spacing w:line="240" w:lineRule="auto"/>
              <w:jc w:val="center"/>
              <w:rPr>
                <w:rFonts w:hint="eastAsia" w:ascii="宋体" w:hAnsi="宋体" w:cs="宋体"/>
                <w:b/>
                <w:bCs/>
                <w:kern w:val="0"/>
              </w:rPr>
            </w:pPr>
          </w:p>
        </w:tc>
        <w:tc>
          <w:tcPr>
            <w:tcW w:w="1071" w:type="pct"/>
            <w:tcBorders>
              <w:top w:val="nil"/>
              <w:left w:val="nil"/>
              <w:bottom w:val="nil"/>
              <w:right w:val="nil"/>
            </w:tcBorders>
            <w:shd w:val="clear" w:color="auto" w:fill="auto"/>
            <w:noWrap/>
            <w:vAlign w:val="center"/>
          </w:tcPr>
          <w:p>
            <w:pPr>
              <w:widowControl/>
              <w:spacing w:line="240" w:lineRule="auto"/>
              <w:jc w:val="center"/>
              <w:rPr>
                <w:rFonts w:eastAsia="Times New Roman"/>
                <w:kern w:val="0"/>
                <w:sz w:val="20"/>
                <w:szCs w:val="20"/>
              </w:rPr>
            </w:pPr>
          </w:p>
        </w:tc>
      </w:tr>
      <w:tr>
        <w:tblPrEx>
          <w:tblCellMar>
            <w:top w:w="0" w:type="dxa"/>
            <w:left w:w="108" w:type="dxa"/>
            <w:bottom w:w="0" w:type="dxa"/>
            <w:right w:w="108" w:type="dxa"/>
          </w:tblCellMar>
        </w:tblPrEx>
        <w:trPr>
          <w:trHeight w:val="270" w:hRule="atLeast"/>
        </w:trPr>
        <w:tc>
          <w:tcPr>
            <w:tcW w:w="1607" w:type="pct"/>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编制单位：山东正扬新材料有限公司</w:t>
            </w:r>
          </w:p>
        </w:tc>
        <w:tc>
          <w:tcPr>
            <w:tcW w:w="385" w:type="pct"/>
            <w:tcBorders>
              <w:top w:val="nil"/>
              <w:left w:val="nil"/>
              <w:bottom w:val="single" w:color="auto" w:sz="4" w:space="0"/>
              <w:right w:val="nil"/>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nil"/>
              <w:right w:val="nil"/>
            </w:tcBorders>
            <w:shd w:val="clear" w:color="auto" w:fill="auto"/>
            <w:noWrap/>
            <w:vAlign w:val="center"/>
          </w:tcPr>
          <w:p>
            <w:pPr>
              <w:widowControl/>
              <w:spacing w:line="240" w:lineRule="auto"/>
              <w:jc w:val="center"/>
              <w:rPr>
                <w:rFonts w:hint="eastAsia" w:ascii="宋体" w:hAnsi="宋体" w:cs="宋体"/>
                <w:kern w:val="0"/>
                <w:sz w:val="18"/>
                <w:szCs w:val="18"/>
              </w:rPr>
            </w:pPr>
          </w:p>
        </w:tc>
        <w:tc>
          <w:tcPr>
            <w:tcW w:w="969" w:type="pct"/>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cs="宋体"/>
                <w:kern w:val="0"/>
                <w:sz w:val="18"/>
                <w:szCs w:val="18"/>
              </w:rPr>
            </w:pPr>
            <w:r>
              <w:rPr>
                <w:rFonts w:hint="eastAsia" w:ascii="宋体" w:hAnsi="宋体" w:cs="宋体"/>
                <w:kern w:val="0"/>
                <w:sz w:val="18"/>
                <w:szCs w:val="18"/>
              </w:rPr>
              <w:t>　</w:t>
            </w:r>
          </w:p>
        </w:tc>
        <w:tc>
          <w:tcPr>
            <w:tcW w:w="1071" w:type="pct"/>
            <w:tcBorders>
              <w:top w:val="nil"/>
              <w:left w:val="nil"/>
              <w:bottom w:val="nil"/>
              <w:right w:val="nil"/>
            </w:tcBorders>
            <w:shd w:val="clear" w:color="auto" w:fill="auto"/>
            <w:noWrap/>
            <w:vAlign w:val="center"/>
          </w:tcPr>
          <w:p>
            <w:pPr>
              <w:widowControl/>
              <w:spacing w:line="240" w:lineRule="auto"/>
              <w:jc w:val="right"/>
              <w:rPr>
                <w:rFonts w:hint="eastAsia" w:ascii="宋体" w:hAnsi="宋体" w:cs="宋体"/>
                <w:kern w:val="0"/>
                <w:sz w:val="18"/>
                <w:szCs w:val="18"/>
              </w:rPr>
            </w:pPr>
            <w:r>
              <w:rPr>
                <w:rFonts w:hint="eastAsia" w:ascii="宋体" w:hAnsi="宋体" w:cs="宋体"/>
                <w:kern w:val="0"/>
                <w:sz w:val="18"/>
                <w:szCs w:val="18"/>
              </w:rPr>
              <w:t xml:space="preserve">单位:元  </w:t>
            </w:r>
            <w:r>
              <w:rPr>
                <w:rFonts w:hint="eastAsia" w:ascii="宋体" w:hAnsi="宋体" w:cs="宋体"/>
                <w:kern w:val="0"/>
                <w:sz w:val="18"/>
                <w:szCs w:val="18"/>
              </w:rPr>
              <w:br w:type="textWrapping"/>
            </w:r>
            <w:r>
              <w:rPr>
                <w:rFonts w:hint="eastAsia" w:ascii="宋体" w:hAnsi="宋体" w:cs="宋体"/>
                <w:kern w:val="0"/>
                <w:sz w:val="18"/>
                <w:szCs w:val="18"/>
              </w:rPr>
              <w:t>币种:人民币</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项目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附注 </w:t>
            </w:r>
          </w:p>
        </w:tc>
        <w:tc>
          <w:tcPr>
            <w:tcW w:w="969"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2021年1月31日</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2020年12月31日</w:t>
            </w:r>
          </w:p>
        </w:tc>
        <w:tc>
          <w:tcPr>
            <w:tcW w:w="107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2019年12月31日</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b/>
                <w:bCs/>
                <w:kern w:val="0"/>
                <w:sz w:val="18"/>
                <w:szCs w:val="18"/>
              </w:rPr>
            </w:pPr>
            <w:r>
              <w:rPr>
                <w:rFonts w:hint="eastAsia" w:ascii="宋体" w:hAnsi="宋体" w:cs="宋体"/>
                <w:b/>
                <w:bCs/>
                <w:kern w:val="0"/>
                <w:sz w:val="18"/>
                <w:szCs w:val="18"/>
              </w:rPr>
              <w:t xml:space="preserve"> 流动资产：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b/>
                <w:bCs/>
                <w:kern w:val="0"/>
                <w:sz w:val="18"/>
                <w:szCs w:val="18"/>
              </w:rPr>
            </w:pPr>
            <w:r>
              <w:rPr>
                <w:rFonts w:ascii="Arial Narrow" w:hAnsi="Arial Narrow" w:cs="宋体"/>
                <w:b/>
                <w:bCs/>
                <w:kern w:val="0"/>
                <w:sz w:val="18"/>
                <w:szCs w:val="18"/>
              </w:rPr>
              <w:t>　</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b/>
                <w:bCs/>
                <w:kern w:val="0"/>
                <w:sz w:val="18"/>
                <w:szCs w:val="18"/>
              </w:rPr>
            </w:pPr>
            <w:r>
              <w:rPr>
                <w:rFonts w:ascii="Arial Narrow" w:hAnsi="Arial Narrow" w:cs="宋体"/>
                <w:b/>
                <w:bCs/>
                <w:kern w:val="0"/>
                <w:sz w:val="18"/>
                <w:szCs w:val="18"/>
              </w:rPr>
              <w:t>　</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货币资金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五、（一）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627,184.78</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603,927.61</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517,263.59</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交易性金融资产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以公允价值计量且其变动计入当期损益的金融资产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衍生金融资产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应收票据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应收账款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五、（二）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3,378,605.28</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3,294,262.53</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2,615,886.78</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应收款项融资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xml:space="preserve">   预付款项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五、（三）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1,467,182.39</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1,356,281.79</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556,719.82</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其他应收款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五、（四）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1,165,718.34</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1,039,271.86</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1,062,710.36</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其中：应收利息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应收股利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存货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五、（五）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2,705,196.83</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2,671,928.53</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2,165,271.38</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持有待售资产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一年内到期的非流动资产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其他流动资产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流动资产合计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9,343,887.62</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8,965,672.32</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6,917,851.93</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非流动资产：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债权投资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可供出售金融资产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其他债权投资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持有至到期投资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长期应收款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长期股权投资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其他权益工具投资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其他非流动金融资产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投资性房地产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固定资产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五、（六）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9,591,316.93</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9,611,958.24</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9,859,653.98</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在建工程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生产性生物资产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油气资产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无形资产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开发支出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商誉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长期待摊费用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递延所得税资产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其他非流动资产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非流动资产合计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9,591,316.93</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9,611,958.24</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9,859,653.98</w:t>
            </w:r>
          </w:p>
        </w:tc>
      </w:tr>
      <w:tr>
        <w:tblPrEx>
          <w:tblCellMar>
            <w:top w:w="0" w:type="dxa"/>
            <w:left w:w="108" w:type="dxa"/>
            <w:bottom w:w="0" w:type="dxa"/>
            <w:right w:w="108" w:type="dxa"/>
          </w:tblCellMar>
        </w:tblPrEx>
        <w:trPr>
          <w:trHeight w:val="315" w:hRule="atLeast"/>
        </w:trPr>
        <w:tc>
          <w:tcPr>
            <w:tcW w:w="1607"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资产总计 </w:t>
            </w:r>
          </w:p>
        </w:tc>
        <w:tc>
          <w:tcPr>
            <w:tcW w:w="38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18,935,204.55</w:t>
            </w:r>
          </w:p>
        </w:tc>
        <w:tc>
          <w:tcPr>
            <w:tcW w:w="9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18,577,630.56</w:t>
            </w:r>
          </w:p>
        </w:tc>
        <w:tc>
          <w:tcPr>
            <w:tcW w:w="1071"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16,777,505.91</w:t>
            </w:r>
          </w:p>
        </w:tc>
      </w:tr>
    </w:tbl>
    <w:p>
      <w:pPr>
        <w:rPr>
          <w:rFonts w:ascii="宋体" w:hAnsi="宋体"/>
        </w:rPr>
      </w:pPr>
    </w:p>
    <w:tbl>
      <w:tblPr>
        <w:tblStyle w:val="13"/>
        <w:tblW w:w="5000" w:type="pct"/>
        <w:tblInd w:w="0" w:type="dxa"/>
        <w:tblLayout w:type="autofit"/>
        <w:tblCellMar>
          <w:top w:w="0" w:type="dxa"/>
          <w:left w:w="108" w:type="dxa"/>
          <w:bottom w:w="0" w:type="dxa"/>
          <w:right w:w="108" w:type="dxa"/>
        </w:tblCellMar>
      </w:tblPr>
      <w:tblGrid>
        <w:gridCol w:w="3492"/>
        <w:gridCol w:w="983"/>
        <w:gridCol w:w="1303"/>
        <w:gridCol w:w="1372"/>
        <w:gridCol w:w="1372"/>
      </w:tblGrid>
      <w:tr>
        <w:tblPrEx>
          <w:tblCellMar>
            <w:top w:w="0" w:type="dxa"/>
            <w:left w:w="108" w:type="dxa"/>
            <w:bottom w:w="0" w:type="dxa"/>
            <w:right w:w="108" w:type="dxa"/>
          </w:tblCellMar>
        </w:tblPrEx>
        <w:trPr>
          <w:trHeight w:val="405" w:hRule="atLeast"/>
        </w:trPr>
        <w:tc>
          <w:tcPr>
            <w:tcW w:w="5000" w:type="pct"/>
            <w:gridSpan w:val="5"/>
            <w:tcBorders>
              <w:top w:val="nil"/>
              <w:left w:val="nil"/>
              <w:bottom w:val="nil"/>
              <w:right w:val="nil"/>
            </w:tcBorders>
            <w:shd w:val="clear" w:color="auto" w:fill="auto"/>
            <w:noWrap/>
            <w:vAlign w:val="center"/>
          </w:tcPr>
          <w:p>
            <w:pPr>
              <w:widowControl/>
              <w:spacing w:line="240" w:lineRule="auto"/>
              <w:jc w:val="center"/>
              <w:rPr>
                <w:rFonts w:ascii="宋体" w:hAnsi="宋体" w:cs="宋体"/>
                <w:b/>
                <w:bCs/>
                <w:kern w:val="0"/>
              </w:rPr>
            </w:pPr>
            <w:r>
              <w:rPr>
                <w:rFonts w:hint="eastAsia" w:ascii="宋体" w:hAnsi="宋体" w:cs="宋体"/>
                <w:b/>
                <w:bCs/>
                <w:kern w:val="0"/>
              </w:rPr>
              <w:t>资产负债表（续）</w:t>
            </w:r>
          </w:p>
        </w:tc>
      </w:tr>
      <w:tr>
        <w:tblPrEx>
          <w:tblCellMar>
            <w:top w:w="0" w:type="dxa"/>
            <w:left w:w="108" w:type="dxa"/>
            <w:bottom w:w="0" w:type="dxa"/>
            <w:right w:w="108" w:type="dxa"/>
          </w:tblCellMar>
        </w:tblPrEx>
        <w:trPr>
          <w:trHeight w:val="315" w:hRule="atLeast"/>
        </w:trPr>
        <w:tc>
          <w:tcPr>
            <w:tcW w:w="3850" w:type="pct"/>
            <w:gridSpan w:val="4"/>
            <w:tcBorders>
              <w:top w:val="nil"/>
              <w:left w:val="nil"/>
              <w:bottom w:val="nil"/>
              <w:right w:val="nil"/>
            </w:tcBorders>
            <w:shd w:val="clear" w:color="auto" w:fill="auto"/>
            <w:noWrap/>
            <w:vAlign w:val="center"/>
          </w:tcPr>
          <w:p>
            <w:pPr>
              <w:widowControl/>
              <w:spacing w:line="240" w:lineRule="auto"/>
              <w:jc w:val="center"/>
              <w:rPr>
                <w:rFonts w:hint="eastAsia" w:ascii="宋体" w:hAnsi="宋体" w:cs="宋体"/>
                <w:b/>
                <w:bCs/>
                <w:kern w:val="0"/>
              </w:rPr>
            </w:pPr>
          </w:p>
        </w:tc>
        <w:tc>
          <w:tcPr>
            <w:tcW w:w="1150" w:type="pct"/>
            <w:tcBorders>
              <w:top w:val="nil"/>
              <w:left w:val="nil"/>
              <w:bottom w:val="nil"/>
              <w:right w:val="nil"/>
            </w:tcBorders>
            <w:shd w:val="clear" w:color="auto" w:fill="auto"/>
            <w:noWrap/>
            <w:vAlign w:val="center"/>
          </w:tcPr>
          <w:p>
            <w:pPr>
              <w:widowControl/>
              <w:spacing w:line="240" w:lineRule="auto"/>
              <w:jc w:val="center"/>
              <w:rPr>
                <w:rFonts w:eastAsia="Times New Roman"/>
                <w:kern w:val="0"/>
                <w:sz w:val="20"/>
                <w:szCs w:val="20"/>
              </w:rPr>
            </w:pPr>
          </w:p>
        </w:tc>
      </w:tr>
      <w:tr>
        <w:tblPrEx>
          <w:tblCellMar>
            <w:top w:w="0" w:type="dxa"/>
            <w:left w:w="108" w:type="dxa"/>
            <w:bottom w:w="0" w:type="dxa"/>
            <w:right w:w="108" w:type="dxa"/>
          </w:tblCellMar>
        </w:tblPrEx>
        <w:trPr>
          <w:trHeight w:val="270" w:hRule="atLeast"/>
        </w:trPr>
        <w:tc>
          <w:tcPr>
            <w:tcW w:w="1394" w:type="pct"/>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编制单位：山东正扬新材料有限公司</w:t>
            </w:r>
          </w:p>
        </w:tc>
        <w:tc>
          <w:tcPr>
            <w:tcW w:w="393" w:type="pct"/>
            <w:tcBorders>
              <w:top w:val="nil"/>
              <w:left w:val="nil"/>
              <w:bottom w:val="single" w:color="auto" w:sz="4" w:space="0"/>
              <w:right w:val="nil"/>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nil"/>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nil"/>
            </w:tcBorders>
            <w:shd w:val="clear" w:color="auto" w:fill="auto"/>
            <w:noWrap/>
            <w:vAlign w:val="center"/>
          </w:tcPr>
          <w:p>
            <w:pPr>
              <w:widowControl/>
              <w:spacing w:line="240" w:lineRule="auto"/>
              <w:jc w:val="right"/>
              <w:rPr>
                <w:rFonts w:hint="eastAsia" w:ascii="宋体" w:hAnsi="宋体" w:cs="宋体"/>
                <w:kern w:val="0"/>
                <w:sz w:val="18"/>
                <w:szCs w:val="18"/>
              </w:rPr>
            </w:pPr>
            <w:r>
              <w:rPr>
                <w:rFonts w:hint="eastAsia" w:ascii="宋体" w:hAnsi="宋体" w:cs="宋体"/>
                <w:kern w:val="0"/>
                <w:sz w:val="18"/>
                <w:szCs w:val="18"/>
              </w:rPr>
              <w:t>　</w:t>
            </w:r>
          </w:p>
        </w:tc>
        <w:tc>
          <w:tcPr>
            <w:tcW w:w="1150" w:type="pct"/>
            <w:tcBorders>
              <w:top w:val="nil"/>
              <w:left w:val="nil"/>
              <w:bottom w:val="nil"/>
              <w:right w:val="nil"/>
            </w:tcBorders>
            <w:shd w:val="clear" w:color="auto" w:fill="auto"/>
            <w:noWrap/>
            <w:vAlign w:val="center"/>
          </w:tcPr>
          <w:p>
            <w:pPr>
              <w:widowControl/>
              <w:spacing w:line="240" w:lineRule="auto"/>
              <w:jc w:val="right"/>
              <w:rPr>
                <w:rFonts w:hint="eastAsia" w:ascii="宋体" w:hAnsi="宋体" w:cs="宋体"/>
                <w:kern w:val="0"/>
                <w:sz w:val="18"/>
                <w:szCs w:val="18"/>
              </w:rPr>
            </w:pPr>
            <w:r>
              <w:rPr>
                <w:rFonts w:hint="eastAsia" w:ascii="宋体" w:hAnsi="宋体" w:cs="宋体"/>
                <w:kern w:val="0"/>
                <w:sz w:val="18"/>
                <w:szCs w:val="18"/>
              </w:rPr>
              <w:t xml:space="preserve">单位:元  </w:t>
            </w:r>
            <w:r>
              <w:rPr>
                <w:rFonts w:hint="eastAsia" w:ascii="宋体" w:hAnsi="宋体" w:cs="宋体"/>
                <w:kern w:val="0"/>
                <w:sz w:val="18"/>
                <w:szCs w:val="18"/>
              </w:rPr>
              <w:br w:type="textWrapping"/>
            </w:r>
            <w:r>
              <w:rPr>
                <w:rFonts w:hint="eastAsia" w:ascii="宋体" w:hAnsi="宋体" w:cs="宋体"/>
                <w:kern w:val="0"/>
                <w:sz w:val="18"/>
                <w:szCs w:val="18"/>
              </w:rPr>
              <w:t>币种:人民币</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项目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附注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2021年1月31日</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2020年12月31日</w:t>
            </w:r>
          </w:p>
        </w:tc>
        <w:tc>
          <w:tcPr>
            <w:tcW w:w="115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2019年12月31日</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b/>
                <w:bCs/>
                <w:kern w:val="0"/>
                <w:sz w:val="18"/>
                <w:szCs w:val="18"/>
              </w:rPr>
            </w:pPr>
            <w:r>
              <w:rPr>
                <w:rFonts w:hint="eastAsia" w:ascii="宋体" w:hAnsi="宋体" w:cs="宋体"/>
                <w:b/>
                <w:bCs/>
                <w:kern w:val="0"/>
                <w:sz w:val="18"/>
                <w:szCs w:val="18"/>
              </w:rPr>
              <w:t xml:space="preserve"> 流动负债： </w:t>
            </w:r>
          </w:p>
        </w:tc>
        <w:tc>
          <w:tcPr>
            <w:tcW w:w="39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Arial Narrow" w:hAnsi="Arial Narrow" w:cs="宋体"/>
                <w:b/>
                <w:bCs/>
                <w:kern w:val="0"/>
                <w:sz w:val="18"/>
                <w:szCs w:val="18"/>
              </w:rPr>
            </w:pPr>
            <w:r>
              <w:rPr>
                <w:rFonts w:ascii="Arial Narrow" w:hAnsi="Arial Narrow" w:cs="宋体"/>
                <w:b/>
                <w:bCs/>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b/>
                <w:bCs/>
                <w:kern w:val="0"/>
                <w:sz w:val="18"/>
                <w:szCs w:val="18"/>
              </w:rPr>
            </w:pPr>
            <w:r>
              <w:rPr>
                <w:rFonts w:ascii="Arial Narrow" w:hAnsi="Arial Narrow" w:cs="宋体"/>
                <w:b/>
                <w:bCs/>
                <w:kern w:val="0"/>
                <w:sz w:val="18"/>
                <w:szCs w:val="18"/>
              </w:rPr>
              <w:t>　</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b/>
                <w:bCs/>
                <w:kern w:val="0"/>
                <w:sz w:val="18"/>
                <w:szCs w:val="18"/>
              </w:rPr>
            </w:pPr>
            <w:r>
              <w:rPr>
                <w:rFonts w:ascii="Arial Narrow" w:hAnsi="Arial Narrow" w:cs="宋体"/>
                <w:b/>
                <w:bCs/>
                <w:kern w:val="0"/>
                <w:sz w:val="18"/>
                <w:szCs w:val="18"/>
              </w:rPr>
              <w:t>　</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短期借款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Arial Narrow" w:hAnsi="Arial Narrow" w:cs="宋体"/>
                <w:kern w:val="0"/>
                <w:sz w:val="18"/>
                <w:szCs w:val="18"/>
              </w:rPr>
            </w:pPr>
            <w:r>
              <w:rPr>
                <w:rFonts w:ascii="Arial Narrow" w:hAnsi="Arial Narrow"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kern w:val="0"/>
                <w:sz w:val="18"/>
                <w:szCs w:val="18"/>
              </w:rPr>
            </w:pPr>
            <w:r>
              <w:rPr>
                <w:rFonts w:ascii="Arial Narrow" w:hAnsi="Arial Narrow" w:cs="宋体"/>
                <w:kern w:val="0"/>
                <w:sz w:val="18"/>
                <w:szCs w:val="18"/>
              </w:rPr>
              <w:t>　</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kern w:val="0"/>
                <w:sz w:val="18"/>
                <w:szCs w:val="18"/>
              </w:rPr>
            </w:pPr>
            <w:r>
              <w:rPr>
                <w:rFonts w:ascii="Arial Narrow" w:hAnsi="Arial Narrow" w:cs="宋体"/>
                <w:kern w:val="0"/>
                <w:sz w:val="18"/>
                <w:szCs w:val="18"/>
              </w:rPr>
              <w:t>　</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交易性金融负债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Arial Narrow" w:hAnsi="Arial Narrow" w:cs="宋体"/>
                <w:kern w:val="0"/>
                <w:sz w:val="18"/>
                <w:szCs w:val="18"/>
              </w:rPr>
            </w:pPr>
            <w:r>
              <w:rPr>
                <w:rFonts w:ascii="Arial Narrow" w:hAnsi="Arial Narrow"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 xml:space="preserve"> / </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　</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以公允价值计量且其变动计入当期损益的金融负债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xml:space="preserve"> /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Arial Narrow" w:hAnsi="Arial Narrow" w:cs="宋体"/>
                <w:kern w:val="0"/>
                <w:sz w:val="18"/>
                <w:szCs w:val="18"/>
              </w:rPr>
            </w:pPr>
            <w:r>
              <w:rPr>
                <w:rFonts w:ascii="Arial Narrow" w:hAnsi="Arial Narrow" w:cs="宋体"/>
                <w:kern w:val="0"/>
                <w:sz w:val="18"/>
                <w:szCs w:val="18"/>
              </w:rPr>
              <w:t>　</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kern w:val="0"/>
                <w:sz w:val="18"/>
                <w:szCs w:val="18"/>
              </w:rPr>
            </w:pPr>
            <w:r>
              <w:rPr>
                <w:rFonts w:ascii="Arial Narrow" w:hAnsi="Arial Narrow" w:cs="宋体"/>
                <w:kern w:val="0"/>
                <w:sz w:val="18"/>
                <w:szCs w:val="18"/>
              </w:rPr>
              <w:t>　</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衍生金融负债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Arial Narrow" w:hAnsi="Arial Narrow" w:cs="宋体"/>
                <w:kern w:val="0"/>
                <w:sz w:val="18"/>
                <w:szCs w:val="18"/>
              </w:rPr>
            </w:pPr>
            <w:r>
              <w:rPr>
                <w:rFonts w:ascii="Arial Narrow" w:hAnsi="Arial Narrow" w:cs="宋体"/>
                <w:kern w:val="0"/>
                <w:sz w:val="18"/>
                <w:szCs w:val="18"/>
              </w:rPr>
              <w:t>　</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kern w:val="0"/>
                <w:sz w:val="18"/>
                <w:szCs w:val="18"/>
              </w:rPr>
            </w:pPr>
            <w:r>
              <w:rPr>
                <w:rFonts w:ascii="Arial Narrow" w:hAnsi="Arial Narrow" w:cs="宋体"/>
                <w:kern w:val="0"/>
                <w:sz w:val="18"/>
                <w:szCs w:val="18"/>
              </w:rPr>
              <w:t>　</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应付票据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Arial Narrow" w:hAnsi="Arial Narrow" w:cs="宋体"/>
                <w:kern w:val="0"/>
                <w:sz w:val="18"/>
                <w:szCs w:val="18"/>
              </w:rPr>
            </w:pPr>
            <w:r>
              <w:rPr>
                <w:rFonts w:ascii="Arial Narrow" w:hAnsi="Arial Narrow"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kern w:val="0"/>
                <w:sz w:val="18"/>
                <w:szCs w:val="18"/>
              </w:rPr>
            </w:pPr>
            <w:r>
              <w:rPr>
                <w:rFonts w:ascii="Arial Narrow" w:hAnsi="Arial Narrow" w:cs="宋体"/>
                <w:kern w:val="0"/>
                <w:sz w:val="18"/>
                <w:szCs w:val="18"/>
              </w:rPr>
              <w:t>　</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Arial Narrow" w:hAnsi="Arial Narrow" w:cs="宋体"/>
                <w:kern w:val="0"/>
                <w:sz w:val="18"/>
                <w:szCs w:val="18"/>
              </w:rPr>
            </w:pPr>
            <w:r>
              <w:rPr>
                <w:rFonts w:ascii="Arial Narrow" w:hAnsi="Arial Narrow" w:cs="宋体"/>
                <w:kern w:val="0"/>
                <w:sz w:val="18"/>
                <w:szCs w:val="18"/>
              </w:rPr>
              <w:t>　</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应付账款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五、（七）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1,174,285.69</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1,065,271.31</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576,198.52</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预收款项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应付职工薪酬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五、（八）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应交税费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五、（九）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29,715.87</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30,157.23</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26,591.28</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其他应付款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五、（十）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671,852.37</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556,332.32</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396,300.00</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其中：应付利息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应付股利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持有待售负债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一年内到期的非流动负债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其他流动负债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流动负债合计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1,875,853.93</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1,651,760.86</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999,089.80</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非流动负债：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长期借款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应付债券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其中：优先股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永续债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长期应付款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长期应付职工薪酬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预计负债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递延收益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递延所得税负债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其他非流动负债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非流动负债合计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负债合计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1,875,853.93</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1,651,760.86</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999,089.80</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所有者权益（或股东权益）：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实收资本（或股本）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五（十一）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15,000,000.00</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15,000,000.00</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15,000,000.00</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其他权益工具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其中：优先股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永续债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资本公积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减：库存股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其他综合收益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专项储备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盈余公积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未分配利润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五（十二）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2,059,350.62</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1,925,869.70</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778,416.11</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所有者权益（或股东权益）合计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17,059,350.62</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16,925,869.70</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15,778,416.11</w:t>
            </w:r>
          </w:p>
        </w:tc>
      </w:tr>
      <w:tr>
        <w:tblPrEx>
          <w:tblCellMar>
            <w:top w:w="0" w:type="dxa"/>
            <w:left w:w="108" w:type="dxa"/>
            <w:bottom w:w="0" w:type="dxa"/>
            <w:right w:w="108" w:type="dxa"/>
          </w:tblCellMar>
        </w:tblPrEx>
        <w:trPr>
          <w:trHeight w:val="315" w:hRule="atLeast"/>
        </w:trPr>
        <w:tc>
          <w:tcPr>
            <w:tcW w:w="139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负债和所有者权益（或股东权益）总计 </w:t>
            </w:r>
          </w:p>
        </w:tc>
        <w:tc>
          <w:tcPr>
            <w:tcW w:w="3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b/>
                <w:bCs/>
                <w:kern w:val="0"/>
                <w:sz w:val="18"/>
                <w:szCs w:val="18"/>
              </w:rPr>
            </w:pPr>
            <w:r>
              <w:rPr>
                <w:rFonts w:hint="eastAsia" w:ascii="宋体" w:hAnsi="宋体" w:cs="宋体"/>
                <w:b/>
                <w:bCs/>
                <w:kern w:val="0"/>
                <w:sz w:val="18"/>
                <w:szCs w:val="18"/>
              </w:rPr>
              <w:t>　</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18,935,204.55</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18,577,630.56</w:t>
            </w:r>
          </w:p>
        </w:tc>
        <w:tc>
          <w:tcPr>
            <w:tcW w:w="115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16,777,505.91</w:t>
            </w:r>
          </w:p>
        </w:tc>
      </w:tr>
    </w:tbl>
    <w:p>
      <w:pPr>
        <w:rPr>
          <w:rFonts w:ascii="宋体" w:hAnsi="宋体"/>
        </w:rPr>
      </w:pPr>
    </w:p>
    <w:p>
      <w:pPr>
        <w:numPr>
          <w:ilvl w:val="0"/>
          <w:numId w:val="2"/>
        </w:numPr>
        <w:ind w:firstLine="480"/>
        <w:rPr>
          <w:rFonts w:ascii="宋体" w:hAnsi="宋体"/>
        </w:rPr>
      </w:pPr>
      <w:r>
        <w:rPr>
          <w:rFonts w:hint="eastAsia" w:ascii="宋体" w:hAnsi="宋体"/>
        </w:rPr>
        <w:t>利润表</w:t>
      </w:r>
      <w:bookmarkEnd w:id="49"/>
      <w:bookmarkStart w:id="50" w:name="_Hlk37328834"/>
    </w:p>
    <w:tbl>
      <w:tblPr>
        <w:tblStyle w:val="13"/>
        <w:tblW w:w="0" w:type="auto"/>
        <w:tblInd w:w="0" w:type="dxa"/>
        <w:tblLayout w:type="autofit"/>
        <w:tblCellMar>
          <w:top w:w="0" w:type="dxa"/>
          <w:left w:w="108" w:type="dxa"/>
          <w:bottom w:w="0" w:type="dxa"/>
          <w:right w:w="108" w:type="dxa"/>
        </w:tblCellMar>
      </w:tblPr>
      <w:tblGrid>
        <w:gridCol w:w="2684"/>
        <w:gridCol w:w="1489"/>
        <w:gridCol w:w="1267"/>
        <w:gridCol w:w="1377"/>
        <w:gridCol w:w="1643"/>
      </w:tblGrid>
      <w:tr>
        <w:tblPrEx>
          <w:tblCellMar>
            <w:top w:w="0" w:type="dxa"/>
            <w:left w:w="108" w:type="dxa"/>
            <w:bottom w:w="0" w:type="dxa"/>
            <w:right w:w="108" w:type="dxa"/>
          </w:tblCellMar>
        </w:tblPrEx>
        <w:trPr>
          <w:trHeight w:val="510" w:hRule="atLeast"/>
        </w:trPr>
        <w:tc>
          <w:tcPr>
            <w:tcW w:w="0" w:type="auto"/>
            <w:gridSpan w:val="5"/>
            <w:tcBorders>
              <w:top w:val="nil"/>
              <w:left w:val="nil"/>
              <w:bottom w:val="nil"/>
              <w:right w:val="nil"/>
            </w:tcBorders>
            <w:shd w:val="clear" w:color="auto" w:fill="auto"/>
            <w:noWrap/>
            <w:vAlign w:val="center"/>
          </w:tcPr>
          <w:p>
            <w:pPr>
              <w:widowControl/>
              <w:spacing w:line="240" w:lineRule="auto"/>
              <w:jc w:val="center"/>
              <w:rPr>
                <w:rFonts w:ascii="宋体" w:hAnsi="宋体" w:cs="宋体"/>
                <w:b/>
                <w:bCs/>
                <w:kern w:val="0"/>
              </w:rPr>
            </w:pPr>
            <w:r>
              <w:rPr>
                <w:rFonts w:hint="eastAsia" w:ascii="宋体" w:hAnsi="宋体" w:cs="宋体"/>
                <w:b/>
                <w:bCs/>
                <w:kern w:val="0"/>
              </w:rPr>
              <w:t>利润表</w:t>
            </w:r>
          </w:p>
        </w:tc>
      </w:tr>
      <w:tr>
        <w:tblPrEx>
          <w:tblCellMar>
            <w:top w:w="0" w:type="dxa"/>
            <w:left w:w="108" w:type="dxa"/>
            <w:bottom w:w="0" w:type="dxa"/>
            <w:right w:w="108" w:type="dxa"/>
          </w:tblCellMar>
        </w:tblPrEx>
        <w:trPr>
          <w:trHeight w:val="315" w:hRule="atLeast"/>
        </w:trPr>
        <w:tc>
          <w:tcPr>
            <w:tcW w:w="6663" w:type="dxa"/>
            <w:gridSpan w:val="4"/>
            <w:tcBorders>
              <w:top w:val="nil"/>
              <w:left w:val="nil"/>
              <w:bottom w:val="nil"/>
              <w:right w:val="nil"/>
            </w:tcBorders>
            <w:shd w:val="clear" w:color="auto" w:fill="auto"/>
            <w:noWrap/>
            <w:vAlign w:val="center"/>
          </w:tcPr>
          <w:p>
            <w:pPr>
              <w:widowControl/>
              <w:spacing w:line="240" w:lineRule="auto"/>
              <w:jc w:val="center"/>
              <w:rPr>
                <w:rFonts w:hint="eastAsia" w:ascii="宋体" w:hAnsi="宋体" w:cs="宋体"/>
                <w:b/>
                <w:bCs/>
                <w:kern w:val="0"/>
              </w:rPr>
            </w:pPr>
          </w:p>
        </w:tc>
        <w:tc>
          <w:tcPr>
            <w:tcW w:w="1643" w:type="dxa"/>
            <w:tcBorders>
              <w:top w:val="nil"/>
              <w:left w:val="nil"/>
              <w:bottom w:val="nil"/>
              <w:right w:val="nil"/>
            </w:tcBorders>
            <w:shd w:val="clear" w:color="auto" w:fill="auto"/>
            <w:noWrap/>
            <w:vAlign w:val="center"/>
          </w:tcPr>
          <w:p>
            <w:pPr>
              <w:widowControl/>
              <w:spacing w:line="240" w:lineRule="auto"/>
              <w:jc w:val="center"/>
              <w:rPr>
                <w:rFonts w:eastAsia="Times New Roman"/>
                <w:kern w:val="0"/>
                <w:sz w:val="20"/>
                <w:szCs w:val="20"/>
              </w:rPr>
            </w:pPr>
          </w:p>
        </w:tc>
      </w:tr>
      <w:tr>
        <w:tblPrEx>
          <w:tblCellMar>
            <w:top w:w="0" w:type="dxa"/>
            <w:left w:w="108" w:type="dxa"/>
            <w:bottom w:w="0" w:type="dxa"/>
            <w:right w:w="108" w:type="dxa"/>
          </w:tblCellMar>
        </w:tblPrEx>
        <w:trPr>
          <w:trHeight w:val="270" w:hRule="atLeast"/>
        </w:trPr>
        <w:tc>
          <w:tcPr>
            <w:tcW w:w="2684" w:type="dxa"/>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编制单位：山东正扬新材料有限公司</w:t>
            </w:r>
          </w:p>
        </w:tc>
        <w:tc>
          <w:tcPr>
            <w:tcW w:w="1489" w:type="dxa"/>
            <w:tcBorders>
              <w:top w:val="nil"/>
              <w:left w:val="nil"/>
              <w:bottom w:val="single" w:color="auto" w:sz="4" w:space="0"/>
              <w:right w:val="nil"/>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nil"/>
              <w:right w:val="nil"/>
            </w:tcBorders>
            <w:shd w:val="clear" w:color="auto" w:fill="auto"/>
            <w:noWrap/>
            <w:vAlign w:val="center"/>
          </w:tcPr>
          <w:p>
            <w:pPr>
              <w:widowControl/>
              <w:spacing w:line="240" w:lineRule="auto"/>
              <w:jc w:val="left"/>
              <w:rPr>
                <w:rFonts w:hint="eastAsia" w:ascii="宋体" w:hAnsi="宋体" w:cs="宋体"/>
                <w:kern w:val="0"/>
                <w:sz w:val="18"/>
                <w:szCs w:val="18"/>
              </w:rPr>
            </w:pPr>
          </w:p>
        </w:tc>
        <w:tc>
          <w:tcPr>
            <w:tcW w:w="1377" w:type="dxa"/>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cs="宋体"/>
                <w:kern w:val="0"/>
                <w:sz w:val="18"/>
                <w:szCs w:val="18"/>
              </w:rPr>
            </w:pPr>
            <w:r>
              <w:rPr>
                <w:rFonts w:hint="eastAsia" w:ascii="宋体" w:hAnsi="宋体" w:cs="宋体"/>
                <w:kern w:val="0"/>
                <w:sz w:val="18"/>
                <w:szCs w:val="18"/>
              </w:rPr>
              <w:t>　</w:t>
            </w:r>
          </w:p>
        </w:tc>
        <w:tc>
          <w:tcPr>
            <w:tcW w:w="1643" w:type="dxa"/>
            <w:tcBorders>
              <w:top w:val="nil"/>
              <w:left w:val="nil"/>
              <w:bottom w:val="nil"/>
              <w:right w:val="nil"/>
            </w:tcBorders>
            <w:shd w:val="clear" w:color="auto" w:fill="auto"/>
            <w:noWrap/>
            <w:vAlign w:val="center"/>
          </w:tcPr>
          <w:p>
            <w:pPr>
              <w:widowControl/>
              <w:spacing w:line="240" w:lineRule="auto"/>
              <w:jc w:val="right"/>
              <w:rPr>
                <w:rFonts w:hint="eastAsia" w:ascii="宋体" w:hAnsi="宋体" w:cs="宋体"/>
                <w:kern w:val="0"/>
                <w:sz w:val="18"/>
                <w:szCs w:val="18"/>
              </w:rPr>
            </w:pPr>
            <w:r>
              <w:rPr>
                <w:rFonts w:hint="eastAsia" w:ascii="宋体" w:hAnsi="宋体" w:cs="宋体"/>
                <w:kern w:val="0"/>
                <w:sz w:val="18"/>
                <w:szCs w:val="18"/>
              </w:rPr>
              <w:t xml:space="preserve">单位:元  </w:t>
            </w:r>
            <w:r>
              <w:rPr>
                <w:rFonts w:hint="eastAsia" w:ascii="宋体" w:hAnsi="宋体" w:cs="宋体"/>
                <w:kern w:val="0"/>
                <w:sz w:val="18"/>
                <w:szCs w:val="18"/>
              </w:rPr>
              <w:br w:type="textWrapping"/>
            </w:r>
            <w:r>
              <w:rPr>
                <w:rFonts w:hint="eastAsia" w:ascii="宋体" w:hAnsi="宋体" w:cs="宋体"/>
                <w:kern w:val="0"/>
                <w:sz w:val="18"/>
                <w:szCs w:val="18"/>
              </w:rPr>
              <w:t>币种:人民币</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项目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附注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2021年1月</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2020年度 </w:t>
            </w:r>
          </w:p>
        </w:tc>
        <w:tc>
          <w:tcPr>
            <w:tcW w:w="164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2019年度 </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b/>
                <w:bCs/>
                <w:kern w:val="0"/>
                <w:sz w:val="18"/>
                <w:szCs w:val="18"/>
              </w:rPr>
            </w:pPr>
            <w:r>
              <w:rPr>
                <w:rFonts w:hint="eastAsia" w:ascii="宋体" w:hAnsi="宋体" w:cs="宋体"/>
                <w:b/>
                <w:bCs/>
                <w:kern w:val="0"/>
                <w:sz w:val="18"/>
                <w:szCs w:val="18"/>
              </w:rPr>
              <w:t xml:space="preserve"> 一、营业收入 </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五、（十三） </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1,835,716.92</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21,603,503.70</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13,792,156.31</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减：营业成本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五、（十三）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1,586,132.41</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19,053,383.18</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12,264,106.10</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税金及附加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五、（十四）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2,395.87</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28,210.39</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18,096.12</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销售费用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管理费用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五、（十五）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70,169.37</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963,035.41</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626,199.54</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研发费用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财务费用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五、（十六）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5,016.92</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60,593.82</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32,980.58</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其中：利息费用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4,414.89</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47,263.18</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26,054.66</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利息收入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加：其他收益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投资收益（损失以“－”号填列）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其中：对联营企业和合营企业的投资收益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以摊余成本计量的金融资产终止确认收益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净敞口套期收益（损失以“－”号填列）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公允价值变动收益（损失以“－”号填列）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信用减值损失（损失以“－”号填列）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资产减值损失（损失以“－”号填列）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资产处置收益（损失以“－”号填列）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二、营业利润（亏损以“－”号填列）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172,002.35</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1,498,280.90</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850,773.97</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加：营业外收入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减：营业外支出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三、利润总额（亏损总额以“－”号填列）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172,002.35</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1,498,280.90</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850,773.97</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减：所得税费用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 五、（十七）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38,521.43</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350,827.31</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200,549.97</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四、净利润（净亏损以“－”号填列）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133,480.92</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1,147,453.59</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650,224.00</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（一）持续经营净利润（净亏损以“－”号填列）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133,480.92</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1,147,453.59</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650,224.00</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（二）终止经营净利润（净亏损以“－”号填列）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五、其他综合收益的税后净额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（一）不能重分类进损益的其他综合收益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1.重新计量设定受益计划变动额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2.权益法下不能转损益的其他综合收益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3.其他权益工具投资公允价值变动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4.企业自身信用风险公允价值变动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（二）将重分类进损益的其他综合收益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1.权益法下可转损益的其他综合收益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2.其他债权投资公允价值变动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3.可供出售金融资产公允价值变动损益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4.金融资产重分类计入其他综合收益的金额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5.持有至到期投资重分类为可供出售金融资产损益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6.其他债权投资信用减值准备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7.现金流量套期储备（现金流量套期损益的有效部分）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8.外币财务报表折算差额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9.其他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15" w:hRule="atLeast"/>
        </w:trPr>
        <w:tc>
          <w:tcPr>
            <w:tcW w:w="268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六、综合收益总额  </w:t>
            </w:r>
          </w:p>
        </w:tc>
        <w:tc>
          <w:tcPr>
            <w:tcW w:w="148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b/>
                <w:bCs/>
                <w:kern w:val="0"/>
                <w:sz w:val="18"/>
                <w:szCs w:val="18"/>
              </w:rPr>
            </w:pPr>
            <w:r>
              <w:rPr>
                <w:rFonts w:hint="eastAsia" w:ascii="宋体" w:hAnsi="宋体" w:cs="宋体"/>
                <w:b/>
                <w:bCs/>
                <w:kern w:val="0"/>
                <w:sz w:val="18"/>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133,480.92</w:t>
            </w:r>
          </w:p>
        </w:tc>
        <w:tc>
          <w:tcPr>
            <w:tcW w:w="137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1,147,453.59</w:t>
            </w:r>
          </w:p>
        </w:tc>
        <w:tc>
          <w:tcPr>
            <w:tcW w:w="1643"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650,224.00</w:t>
            </w:r>
          </w:p>
        </w:tc>
      </w:tr>
      <w:bookmarkEnd w:id="50"/>
    </w:tbl>
    <w:p>
      <w:pPr>
        <w:numPr>
          <w:ilvl w:val="0"/>
          <w:numId w:val="2"/>
        </w:numPr>
        <w:ind w:firstLine="480"/>
        <w:rPr>
          <w:rFonts w:ascii="宋体" w:hAnsi="宋体"/>
        </w:rPr>
      </w:pPr>
      <w:bookmarkStart w:id="51" w:name="_Toc248204897"/>
      <w:r>
        <w:rPr>
          <w:rFonts w:hint="eastAsia" w:ascii="宋体" w:hAnsi="宋体"/>
        </w:rPr>
        <w:t>现金流量表</w:t>
      </w:r>
      <w:bookmarkEnd w:id="51"/>
    </w:p>
    <w:tbl>
      <w:tblPr>
        <w:tblStyle w:val="13"/>
        <w:tblW w:w="5000" w:type="pct"/>
        <w:tblInd w:w="0" w:type="dxa"/>
        <w:tblLayout w:type="fixed"/>
        <w:tblCellMar>
          <w:top w:w="0" w:type="dxa"/>
          <w:left w:w="108" w:type="dxa"/>
          <w:bottom w:w="0" w:type="dxa"/>
          <w:right w:w="108" w:type="dxa"/>
        </w:tblCellMar>
      </w:tblPr>
      <w:tblGrid>
        <w:gridCol w:w="3420"/>
        <w:gridCol w:w="798"/>
        <w:gridCol w:w="1310"/>
        <w:gridCol w:w="1210"/>
        <w:gridCol w:w="1784"/>
      </w:tblGrid>
      <w:tr>
        <w:tblPrEx>
          <w:tblCellMar>
            <w:top w:w="0" w:type="dxa"/>
            <w:left w:w="108" w:type="dxa"/>
            <w:bottom w:w="0" w:type="dxa"/>
            <w:right w:w="108" w:type="dxa"/>
          </w:tblCellMar>
        </w:tblPrEx>
        <w:trPr>
          <w:trHeight w:val="510" w:hRule="atLeast"/>
        </w:trPr>
        <w:tc>
          <w:tcPr>
            <w:tcW w:w="5000" w:type="pct"/>
            <w:gridSpan w:val="5"/>
            <w:tcBorders>
              <w:top w:val="nil"/>
              <w:left w:val="nil"/>
              <w:bottom w:val="nil"/>
              <w:right w:val="nil"/>
            </w:tcBorders>
            <w:shd w:val="clear" w:color="auto" w:fill="auto"/>
            <w:noWrap/>
            <w:vAlign w:val="center"/>
          </w:tcPr>
          <w:p>
            <w:pPr>
              <w:widowControl/>
              <w:spacing w:line="240" w:lineRule="auto"/>
              <w:jc w:val="center"/>
              <w:rPr>
                <w:rFonts w:ascii="宋体" w:hAnsi="宋体" w:cs="宋体"/>
                <w:b/>
                <w:bCs/>
                <w:kern w:val="0"/>
              </w:rPr>
            </w:pPr>
            <w:r>
              <w:rPr>
                <w:rFonts w:hint="eastAsia" w:ascii="宋体" w:hAnsi="宋体" w:cs="宋体"/>
                <w:b/>
                <w:bCs/>
                <w:kern w:val="0"/>
              </w:rPr>
              <w:t>现金流量表</w:t>
            </w:r>
          </w:p>
        </w:tc>
      </w:tr>
      <w:tr>
        <w:tblPrEx>
          <w:tblCellMar>
            <w:top w:w="0" w:type="dxa"/>
            <w:left w:w="108" w:type="dxa"/>
            <w:bottom w:w="0" w:type="dxa"/>
            <w:right w:w="108" w:type="dxa"/>
          </w:tblCellMar>
        </w:tblPrEx>
        <w:trPr>
          <w:trHeight w:val="315" w:hRule="atLeast"/>
        </w:trPr>
        <w:tc>
          <w:tcPr>
            <w:tcW w:w="5000" w:type="pct"/>
            <w:gridSpan w:val="5"/>
            <w:tcBorders>
              <w:top w:val="nil"/>
              <w:left w:val="nil"/>
              <w:bottom w:val="nil"/>
              <w:right w:val="nil"/>
            </w:tcBorders>
            <w:shd w:val="clear" w:color="auto" w:fill="auto"/>
            <w:noWrap/>
            <w:vAlign w:val="center"/>
          </w:tcPr>
          <w:p>
            <w:pPr>
              <w:widowControl/>
              <w:spacing w:line="240" w:lineRule="auto"/>
              <w:jc w:val="center"/>
              <w:rPr>
                <w:rFonts w:hint="eastAsia" w:ascii="宋体" w:hAnsi="宋体" w:cs="宋体"/>
                <w:b/>
                <w:bCs/>
                <w:kern w:val="0"/>
              </w:rPr>
            </w:pPr>
          </w:p>
        </w:tc>
      </w:tr>
      <w:tr>
        <w:trPr>
          <w:trHeight w:val="270" w:hRule="atLeast"/>
        </w:trPr>
        <w:tc>
          <w:tcPr>
            <w:tcW w:w="2006" w:type="pct"/>
            <w:tcBorders>
              <w:top w:val="nil"/>
              <w:left w:val="nil"/>
              <w:bottom w:val="single" w:color="auto" w:sz="4" w:space="0"/>
              <w:right w:val="nil"/>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编制单位：山东正扬新材料有限公司</w:t>
            </w:r>
          </w:p>
        </w:tc>
        <w:tc>
          <w:tcPr>
            <w:tcW w:w="468" w:type="pct"/>
            <w:tcBorders>
              <w:top w:val="nil"/>
              <w:left w:val="nil"/>
              <w:bottom w:val="single" w:color="auto" w:sz="4" w:space="0"/>
              <w:right w:val="nil"/>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nil"/>
              <w:right w:val="nil"/>
            </w:tcBorders>
            <w:shd w:val="clear" w:color="auto" w:fill="auto"/>
            <w:noWrap/>
            <w:vAlign w:val="center"/>
          </w:tcPr>
          <w:p>
            <w:pPr>
              <w:widowControl/>
              <w:spacing w:line="240" w:lineRule="auto"/>
              <w:jc w:val="left"/>
              <w:rPr>
                <w:rFonts w:hint="eastAsia" w:ascii="宋体" w:hAnsi="宋体" w:cs="宋体"/>
                <w:kern w:val="0"/>
                <w:sz w:val="18"/>
                <w:szCs w:val="18"/>
              </w:rPr>
            </w:pPr>
          </w:p>
        </w:tc>
        <w:tc>
          <w:tcPr>
            <w:tcW w:w="710" w:type="pct"/>
            <w:tcBorders>
              <w:top w:val="nil"/>
              <w:left w:val="nil"/>
              <w:bottom w:val="nil"/>
              <w:right w:val="nil"/>
            </w:tcBorders>
            <w:shd w:val="clear" w:color="auto" w:fill="auto"/>
            <w:noWrap/>
            <w:vAlign w:val="center"/>
          </w:tcPr>
          <w:p>
            <w:pPr>
              <w:widowControl/>
              <w:spacing w:line="240" w:lineRule="auto"/>
              <w:jc w:val="left"/>
              <w:rPr>
                <w:rFonts w:eastAsia="Times New Roman"/>
                <w:kern w:val="0"/>
                <w:sz w:val="20"/>
                <w:szCs w:val="20"/>
              </w:rPr>
            </w:pPr>
          </w:p>
        </w:tc>
        <w:tc>
          <w:tcPr>
            <w:tcW w:w="1047" w:type="pct"/>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cs="宋体"/>
                <w:kern w:val="0"/>
                <w:sz w:val="18"/>
                <w:szCs w:val="18"/>
              </w:rPr>
            </w:pPr>
            <w:r>
              <w:rPr>
                <w:rFonts w:hint="eastAsia" w:ascii="宋体" w:hAnsi="宋体" w:cs="宋体"/>
                <w:kern w:val="0"/>
                <w:sz w:val="18"/>
                <w:szCs w:val="18"/>
              </w:rPr>
              <w:t xml:space="preserve">单位:元  </w:t>
            </w:r>
            <w:r>
              <w:rPr>
                <w:rFonts w:hint="eastAsia" w:ascii="宋体" w:hAnsi="宋体" w:cs="宋体"/>
                <w:kern w:val="0"/>
                <w:sz w:val="18"/>
                <w:szCs w:val="18"/>
              </w:rPr>
              <w:br w:type="textWrapping"/>
            </w:r>
            <w:r>
              <w:rPr>
                <w:rFonts w:hint="eastAsia" w:ascii="宋体" w:hAnsi="宋体" w:cs="宋体"/>
                <w:kern w:val="0"/>
                <w:sz w:val="18"/>
                <w:szCs w:val="18"/>
              </w:rPr>
              <w:t>币种:人民币</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项目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附注 </w:t>
            </w:r>
          </w:p>
        </w:tc>
        <w:tc>
          <w:tcPr>
            <w:tcW w:w="769"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2021年1月</w:t>
            </w:r>
          </w:p>
        </w:tc>
        <w:tc>
          <w:tcPr>
            <w:tcW w:w="71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2020年度 </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kern w:val="0"/>
                <w:sz w:val="18"/>
                <w:szCs w:val="18"/>
              </w:rPr>
            </w:pPr>
            <w:r>
              <w:rPr>
                <w:rFonts w:hint="eastAsia" w:ascii="宋体" w:hAnsi="宋体" w:cs="宋体"/>
                <w:b/>
                <w:bCs/>
                <w:kern w:val="0"/>
                <w:sz w:val="18"/>
                <w:szCs w:val="18"/>
              </w:rPr>
              <w:t xml:space="preserve"> 2019年度 </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b/>
                <w:bCs/>
                <w:kern w:val="0"/>
                <w:sz w:val="18"/>
                <w:szCs w:val="18"/>
              </w:rPr>
            </w:pPr>
            <w:r>
              <w:rPr>
                <w:rFonts w:hint="eastAsia" w:ascii="宋体" w:hAnsi="宋体" w:cs="宋体"/>
                <w:b/>
                <w:bCs/>
                <w:kern w:val="0"/>
                <w:sz w:val="18"/>
                <w:szCs w:val="18"/>
              </w:rPr>
              <w:t xml:space="preserve"> 一、经营活动产生的现金流量： </w:t>
            </w:r>
          </w:p>
        </w:tc>
        <w:tc>
          <w:tcPr>
            <w:tcW w:w="46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销售商品、提供劳务收到的现金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1,806,445.68</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21,573,233.06</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14,037,197.83</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收到的税费返还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收到其他与经营活动有关的现金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938,789.87</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3,237,602.52</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2,862,965.17</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经营活动现金流入小计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2,745,235.55</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24,810,835.58</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16,900,163.00</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购买商品、接受劳务支付的现金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1,831,809.02</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22,413,334.75</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14,429,627.72</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支付给职工以及为职工支付的现金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97,147.11</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1,209,962.28</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705,555.39</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支付的各项税费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69,479.77</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641,121.99</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444,493.67</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支付其他与经营活动有关的现金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723,542.48</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459,752.54</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1,265,207.90</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经营活动现金流出小计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2,721,978.38</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24,724,171.56</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16,844,884.68</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经营活动产生的现金流量净额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23,257.17</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86,664.02</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55,278.32</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二、投资活动产生的现金流量：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收回投资收到的现金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取得投资收益收到的现金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处置固定资产、无形资产和其他长期资产收回的现金净额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处置子公司及其他营业单位收到的现金净额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收到其他与投资活动有关的现金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投资活动现金流入小计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购建固定资产、无形资产和其他长期资产支付的现金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投资支付的现金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取得子公司及其他营业单位支付的现金净额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支付其他与投资活动有关的现金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投资活动现金流出小计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投资活动产生的现金流量净额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三、筹资活动产生的现金流量：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吸收投资收到的现金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取得借款收到的现金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收到其他与筹资活动有关的现金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筹资活动现金流入小计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偿还债务支付的现金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分配股利、利润或偿付利息支付的现金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支付其他与筹资活动有关的现金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筹资活动现金流出小计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筹资活动产生的现金流量净额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四、汇率变动对现金及现金等价物的影响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kern w:val="0"/>
                <w:sz w:val="18"/>
                <w:szCs w:val="18"/>
              </w:rPr>
            </w:pPr>
            <w:r>
              <w:rPr>
                <w:rFonts w:hint="eastAsia" w:ascii="宋体" w:hAnsi="宋体" w:cs="宋体"/>
                <w:kern w:val="0"/>
                <w:sz w:val="18"/>
                <w:szCs w:val="18"/>
              </w:rPr>
              <w:t>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五、现金及现金等价物净增加额 </w:t>
            </w:r>
          </w:p>
        </w:tc>
        <w:tc>
          <w:tcPr>
            <w:tcW w:w="468" w:type="pct"/>
            <w:tcBorders>
              <w:top w:val="nil"/>
              <w:left w:val="nil"/>
              <w:bottom w:val="single" w:color="auto" w:sz="4" w:space="0"/>
              <w:right w:val="single" w:color="auto" w:sz="4" w:space="0"/>
            </w:tcBorders>
            <w:shd w:val="clear" w:color="auto" w:fill="auto"/>
            <w:noWrap/>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五、（十八）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23,257.17</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86,664.02</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55,278.32</w:t>
            </w:r>
          </w:p>
        </w:tc>
      </w:tr>
      <w:tr>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 xml:space="preserve">   加：期初现金及现金等价物余额 </w:t>
            </w:r>
          </w:p>
        </w:tc>
        <w:tc>
          <w:tcPr>
            <w:tcW w:w="468" w:type="pct"/>
            <w:tcBorders>
              <w:top w:val="nil"/>
              <w:left w:val="nil"/>
              <w:bottom w:val="single" w:color="auto" w:sz="4" w:space="0"/>
              <w:right w:val="single" w:color="auto" w:sz="4" w:space="0"/>
            </w:tcBorders>
            <w:shd w:val="clear" w:color="auto" w:fill="auto"/>
            <w:noWrap/>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五、（十八）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kern w:val="0"/>
                <w:sz w:val="18"/>
                <w:szCs w:val="18"/>
              </w:rPr>
            </w:pPr>
            <w:r>
              <w:rPr>
                <w:rFonts w:ascii="Arial Narrow" w:hAnsi="Arial Narrow" w:cs="宋体"/>
                <w:kern w:val="0"/>
                <w:sz w:val="18"/>
                <w:szCs w:val="18"/>
              </w:rPr>
              <w:t>603,927.61</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517,263.59</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kern w:val="0"/>
                <w:sz w:val="18"/>
                <w:szCs w:val="18"/>
              </w:rPr>
            </w:pPr>
            <w:r>
              <w:rPr>
                <w:rFonts w:ascii="Arial Narrow" w:hAnsi="Arial Narrow" w:cs="宋体"/>
                <w:kern w:val="0"/>
                <w:sz w:val="18"/>
                <w:szCs w:val="18"/>
              </w:rPr>
              <w:t>461,985.27</w:t>
            </w:r>
          </w:p>
        </w:tc>
      </w:tr>
      <w:tr>
        <w:tblPrEx>
          <w:tblCellMar>
            <w:top w:w="0" w:type="dxa"/>
            <w:left w:w="108" w:type="dxa"/>
            <w:bottom w:w="0" w:type="dxa"/>
            <w:right w:w="108" w:type="dxa"/>
          </w:tblCellMar>
        </w:tblPrEx>
        <w:trPr>
          <w:trHeight w:val="300" w:hRule="atLeast"/>
        </w:trPr>
        <w:tc>
          <w:tcPr>
            <w:tcW w:w="200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b/>
                <w:bCs/>
                <w:kern w:val="0"/>
                <w:sz w:val="18"/>
                <w:szCs w:val="18"/>
              </w:rPr>
            </w:pPr>
            <w:r>
              <w:rPr>
                <w:rFonts w:hint="eastAsia" w:ascii="宋体" w:hAnsi="宋体" w:cs="宋体"/>
                <w:b/>
                <w:bCs/>
                <w:kern w:val="0"/>
                <w:sz w:val="18"/>
                <w:szCs w:val="18"/>
              </w:rPr>
              <w:t xml:space="preserve"> 六、期末现金及现金等价物余额 </w:t>
            </w:r>
          </w:p>
        </w:tc>
        <w:tc>
          <w:tcPr>
            <w:tcW w:w="468" w:type="pct"/>
            <w:tcBorders>
              <w:top w:val="nil"/>
              <w:left w:val="nil"/>
              <w:bottom w:val="single" w:color="auto" w:sz="4" w:space="0"/>
              <w:right w:val="single" w:color="auto" w:sz="4" w:space="0"/>
            </w:tcBorders>
            <w:shd w:val="clear" w:color="auto" w:fill="auto"/>
            <w:noWrap/>
          </w:tcPr>
          <w:p>
            <w:pPr>
              <w:widowControl/>
              <w:spacing w:line="240" w:lineRule="auto"/>
              <w:rPr>
                <w:rFonts w:hint="eastAsia" w:ascii="宋体" w:hAnsi="宋体" w:cs="宋体"/>
                <w:kern w:val="0"/>
                <w:sz w:val="18"/>
                <w:szCs w:val="18"/>
              </w:rPr>
            </w:pPr>
            <w:r>
              <w:rPr>
                <w:rFonts w:hint="eastAsia" w:ascii="宋体" w:hAnsi="宋体" w:cs="宋体"/>
                <w:kern w:val="0"/>
                <w:sz w:val="18"/>
                <w:szCs w:val="18"/>
              </w:rPr>
              <w:t xml:space="preserve">五、（十八） </w:t>
            </w:r>
          </w:p>
        </w:tc>
        <w:tc>
          <w:tcPr>
            <w:tcW w:w="76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Arial Narrow" w:hAnsi="Arial Narrow" w:cs="宋体"/>
                <w:b/>
                <w:bCs/>
                <w:kern w:val="0"/>
                <w:sz w:val="18"/>
                <w:szCs w:val="18"/>
              </w:rPr>
            </w:pPr>
            <w:r>
              <w:rPr>
                <w:rFonts w:ascii="Arial Narrow" w:hAnsi="Arial Narrow" w:cs="宋体"/>
                <w:b/>
                <w:bCs/>
                <w:kern w:val="0"/>
                <w:sz w:val="18"/>
                <w:szCs w:val="18"/>
              </w:rPr>
              <w:t>627,184.78</w:t>
            </w:r>
          </w:p>
        </w:tc>
        <w:tc>
          <w:tcPr>
            <w:tcW w:w="71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603,927.61</w:t>
            </w:r>
          </w:p>
        </w:tc>
        <w:tc>
          <w:tcPr>
            <w:tcW w:w="104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Narrow" w:hAnsi="Arial Narrow" w:cs="宋体"/>
                <w:b/>
                <w:bCs/>
                <w:kern w:val="0"/>
                <w:sz w:val="18"/>
                <w:szCs w:val="18"/>
              </w:rPr>
            </w:pPr>
            <w:r>
              <w:rPr>
                <w:rFonts w:ascii="Arial Narrow" w:hAnsi="Arial Narrow" w:cs="宋体"/>
                <w:b/>
                <w:bCs/>
                <w:kern w:val="0"/>
                <w:sz w:val="18"/>
                <w:szCs w:val="18"/>
              </w:rPr>
              <w:t>517,263.59</w:t>
            </w:r>
          </w:p>
        </w:tc>
      </w:tr>
    </w:tbl>
    <w:p>
      <w:pPr>
        <w:ind w:firstLine="480" w:firstLineChars="200"/>
      </w:pPr>
      <w:r>
        <w:rPr>
          <w:rFonts w:hint="eastAsia"/>
        </w:rPr>
        <w:t>公司</w:t>
      </w:r>
      <w:r>
        <w:t>报告期财务会计信息</w:t>
      </w:r>
      <w:r>
        <w:rPr>
          <w:rFonts w:hint="eastAsia"/>
        </w:rPr>
        <w:t>无虚假记载</w:t>
      </w:r>
      <w:r>
        <w:t>。</w:t>
      </w:r>
    </w:p>
    <w:p>
      <w:pPr>
        <w:pStyle w:val="3"/>
        <w:ind w:left="480"/>
      </w:pPr>
      <w:bookmarkStart w:id="52" w:name="_Toc12302"/>
      <w:r>
        <w:rPr>
          <w:rFonts w:hint="eastAsia"/>
        </w:rPr>
        <w:t>六、公司经营目标及计划</w:t>
      </w:r>
      <w:bookmarkEnd w:id="52"/>
    </w:p>
    <w:p>
      <w:pPr>
        <w:ind w:firstLine="480" w:firstLineChars="200"/>
      </w:pPr>
      <w:bookmarkStart w:id="53" w:name="_Hlk31887440"/>
      <w:r>
        <w:rPr>
          <w:rFonts w:hint="eastAsia"/>
        </w:rPr>
        <w:t>（一）经营目标</w:t>
      </w:r>
    </w:p>
    <w:p>
      <w:pPr>
        <w:ind w:firstLine="480" w:firstLineChars="200"/>
        <w:rPr>
          <w:rFonts w:ascii="宋体" w:hAnsi="宋体"/>
        </w:rPr>
      </w:pPr>
      <w:bookmarkStart w:id="54" w:name="_Hlk57818495"/>
      <w:r>
        <w:rPr>
          <w:rFonts w:hint="eastAsia" w:ascii="宋体" w:hAnsi="宋体"/>
        </w:rPr>
        <w:t>公司始终以优质的产品质量和良好的售后服务零距离服务广大客户；遵循“立足山东，辐射全国”的发展战略，进一步扩大主营产品的经营网络，做大做强主业。同时，公司将致力成为一家在此基础上向产业链的上下游延伸，为客户提供全产业链产品的生产企业。</w:t>
      </w:r>
    </w:p>
    <w:bookmarkEnd w:id="54"/>
    <w:p>
      <w:pPr>
        <w:ind w:firstLine="480" w:firstLineChars="200"/>
      </w:pPr>
      <w:r>
        <w:rPr>
          <w:rFonts w:hint="eastAsia"/>
        </w:rPr>
        <w:t>（二）具体发展业务计划</w:t>
      </w:r>
      <w:bookmarkStart w:id="55" w:name="_Toc346286158"/>
      <w:bookmarkStart w:id="56" w:name="_Toc347823210"/>
      <w:bookmarkStart w:id="57" w:name="_Toc317756608"/>
      <w:bookmarkStart w:id="58" w:name="_Toc342567520"/>
      <w:bookmarkStart w:id="59" w:name="_Toc347755025"/>
      <w:bookmarkStart w:id="60" w:name="_Toc346092744"/>
    </w:p>
    <w:p>
      <w:pPr>
        <w:ind w:firstLine="480" w:firstLineChars="200"/>
      </w:pPr>
      <w:bookmarkStart w:id="61" w:name="_Hlk57818519"/>
      <w:r>
        <w:rPr>
          <w:rFonts w:hint="eastAsia"/>
        </w:rPr>
        <w:t>1、扩大生产规模</w:t>
      </w:r>
    </w:p>
    <w:p>
      <w:pPr>
        <w:ind w:firstLine="480" w:firstLineChars="200"/>
      </w:pPr>
      <w:r>
        <w:rPr>
          <w:rFonts w:hint="eastAsia"/>
        </w:rPr>
        <w:t>近两年来，随着公司技术优势逐渐凸显、生产经验逐渐积累、业务体系逐渐成熟，公司业务规模实现了快速扩张。为了满足日益增长的业务需求，扩大生产规模成为公司下一步发展的重点。公司将通过资本市场，引进战略投资者，利用引进的资金购置更多的智能化生产设备，并计划适时购置更多的土地，建设车间及生产线，扩大生产规模。</w:t>
      </w:r>
    </w:p>
    <w:p>
      <w:pPr>
        <w:ind w:firstLine="480" w:firstLineChars="200"/>
      </w:pPr>
      <w:r>
        <w:rPr>
          <w:rFonts w:hint="eastAsia"/>
        </w:rPr>
        <w:t>2、加强企业管理，倡导现代企业管理理念</w:t>
      </w:r>
    </w:p>
    <w:p>
      <w:pPr>
        <w:ind w:firstLine="480" w:firstLineChars="200"/>
      </w:pPr>
      <w:r>
        <w:rPr>
          <w:rFonts w:hint="eastAsia"/>
        </w:rPr>
        <w:t>由于公司人数较少，发展围绕业务运营不可避免造成了管理上的轻视。因此，要对现有企业管理制度、规范标准进行清理，形成完整、适用、有效、可操作的文件化制度体系，同时完善动态更新、修订机制，通过各种途径大力营造“事事有标准、处处按标准、人人讲标准”的标准化管理氛围。</w:t>
      </w:r>
    </w:p>
    <w:p>
      <w:pPr>
        <w:ind w:firstLine="480" w:firstLineChars="200"/>
      </w:pPr>
      <w:r>
        <w:rPr>
          <w:rFonts w:hint="eastAsia"/>
        </w:rPr>
        <w:t>3、</w:t>
      </w:r>
      <w:r>
        <w:rPr>
          <w:rFonts w:hint="eastAsia"/>
          <w:color w:val="000000" w:themeColor="text1"/>
          <w14:textFill>
            <w14:solidFill>
              <w14:schemeClr w14:val="tx1"/>
            </w14:solidFill>
          </w14:textFill>
        </w:rPr>
        <w:t>完善营销网络，积极开拓市场</w:t>
      </w:r>
    </w:p>
    <w:p>
      <w:pPr>
        <w:ind w:firstLine="480" w:firstLineChars="200"/>
        <w:rPr>
          <w:color w:val="000000" w:themeColor="text1"/>
          <w14:textFill>
            <w14:solidFill>
              <w14:schemeClr w14:val="tx1"/>
            </w14:solidFill>
          </w14:textFill>
        </w:rPr>
      </w:pPr>
      <w:bookmarkStart w:id="62" w:name="_Toc2323"/>
      <w:r>
        <w:rPr>
          <w:rFonts w:hint="eastAsia"/>
          <w:color w:val="000000" w:themeColor="text1"/>
          <w14:textFill>
            <w14:solidFill>
              <w14:schemeClr w14:val="tx1"/>
            </w14:solidFill>
          </w14:textFill>
        </w:rPr>
        <w:t>公司目前的业务范围以山东地区为主，主要依靠业务人员进行线下开拓，线下服务。在未来，公司将进一步完善公司营销网络，正确认识市场竞争，发挥公司自身的优势，努力开拓市场，保持公司产品在市场上占有率只增不降。最后，建立客户数据库，针对客户定期进行回访和沟通，将短期交易转变为长期合作。</w:t>
      </w:r>
      <w:bookmarkEnd w:id="61"/>
    </w:p>
    <w:p>
      <w:pPr>
        <w:ind w:firstLine="480" w:firstLineChars="200"/>
      </w:pPr>
      <w:r>
        <w:rPr>
          <w:rFonts w:hint="eastAsia"/>
        </w:rPr>
        <w:t>（三）公司为实现未来发展目标将采取的措施</w:t>
      </w:r>
      <w:bookmarkEnd w:id="55"/>
      <w:bookmarkEnd w:id="56"/>
      <w:bookmarkEnd w:id="57"/>
      <w:bookmarkEnd w:id="58"/>
      <w:bookmarkEnd w:id="59"/>
      <w:bookmarkEnd w:id="60"/>
      <w:bookmarkEnd w:id="62"/>
    </w:p>
    <w:p>
      <w:pPr>
        <w:ind w:firstLine="480" w:firstLineChars="200"/>
      </w:pPr>
      <w:bookmarkStart w:id="63" w:name="_Hlk57818561"/>
      <w:r>
        <w:rPr>
          <w:rFonts w:hint="eastAsia"/>
        </w:rPr>
        <w:t>1、强化技术创新能力</w:t>
      </w:r>
    </w:p>
    <w:p>
      <w:pPr>
        <w:ind w:firstLine="480" w:firstLineChars="200"/>
      </w:pPr>
      <w:r>
        <w:rPr>
          <w:rFonts w:hint="eastAsia"/>
        </w:rPr>
        <w:t xml:space="preserve">技术是企业市场竞争、生存发展的核心战斗力，企业只有不断致力于提高技术水平、找准自己的技术定位，通过各种方式切实地改进和更新自己的技术，才能实现市场占有份额和可持续发展。技术创新就是技术变为产品，并在市场上销售得以实现其价值，从而获得经济效益的过程。      </w:t>
      </w:r>
    </w:p>
    <w:p>
      <w:pPr>
        <w:ind w:firstLine="480" w:firstLineChars="200"/>
      </w:pPr>
      <w:r>
        <w:rPr>
          <w:rFonts w:hint="eastAsia"/>
        </w:rPr>
        <w:t>公司将致力于提升产品生产技术、工艺水平，采用新的经营管理模式，提高产品质量，开发生产新的产品、提供新的服务，占据市场并实现市场价值；同时通过技术变革不断发展技术，培养新的经济增长点，有效地促进经济增长。</w:t>
      </w:r>
    </w:p>
    <w:p>
      <w:r>
        <w:rPr>
          <w:rFonts w:hint="eastAsia"/>
        </w:rPr>
        <w:t xml:space="preserve">    2、加强品牌建设 优化营销体系</w:t>
      </w:r>
    </w:p>
    <w:p>
      <w:pPr>
        <w:ind w:firstLine="480" w:firstLineChars="200"/>
      </w:pPr>
      <w:r>
        <w:rPr>
          <w:rFonts w:hint="eastAsia"/>
        </w:rPr>
        <w:t>公司将根据市场需求，通过策划宣传等手段进一步提升公司形象，打造强势品牌，开发新客户，扩大市场覆盖面，提高产品市场份额，不断完善公司营销体系。进一步加强公司营销网络的建设，有效拓展市场，同时继续优化产品结构，提升产品市场竞争力，扩大经营规模，巩固产、销密切结合的经营体系</w:t>
      </w:r>
    </w:p>
    <w:p>
      <w:pPr>
        <w:ind w:left="480"/>
      </w:pPr>
      <w:r>
        <w:rPr>
          <w:rFonts w:hint="eastAsia"/>
        </w:rPr>
        <w:t>3、加强人才培养，建设高水平队伍</w:t>
      </w:r>
    </w:p>
    <w:p>
      <w:pPr>
        <w:ind w:firstLine="480" w:firstLineChars="200"/>
      </w:pPr>
      <w:r>
        <w:rPr>
          <w:rFonts w:hint="eastAsia"/>
        </w:rPr>
        <w:t>随着公司生产经营规模持续扩大，公司对专业技术人才的需求日益强烈。未来，公司将扩大招聘力度，积极招揽优秀的技术和管理人才，不断提高员工薪酬水平，加大员工激励，提供更多的专业技能培训，夯实员工队伍，提高凝聚力，提高员工整体素质和专业能力，加强老技术人员的知识更新和新的技术人员的专业培训，培养一批高水平和高素质的生产和管理人才队伍。</w:t>
      </w:r>
    </w:p>
    <w:p>
      <w:pPr>
        <w:ind w:left="480"/>
      </w:pPr>
      <w:r>
        <w:rPr>
          <w:rFonts w:hint="eastAsia"/>
        </w:rPr>
        <w:t>4、加强企业融资能力</w:t>
      </w:r>
    </w:p>
    <w:p>
      <w:pPr>
        <w:ind w:firstLine="480" w:firstLineChars="200"/>
      </w:pPr>
      <w:r>
        <w:rPr>
          <w:rFonts w:hint="eastAsia"/>
        </w:rPr>
        <w:t>公司将根据业务实际发展状况和资金需求，合理使用直接融资、间接融资手段，保持公司健康合理的资本结构，为实现公司持续、快速发展提供资金保障。公司将做好募集资金投资项目的建设工作，以规范的运作、科学的管理、优良的经营业绩、持续的增长、丰厚的回报，给投资者以持久的信心，以获取后期更大规模融资机会。</w:t>
      </w:r>
      <w:bookmarkEnd w:id="53"/>
      <w:bookmarkEnd w:id="63"/>
    </w:p>
    <w:p>
      <w:pPr>
        <w:pStyle w:val="2"/>
        <w:rPr>
          <w:rFonts w:ascii="仿宋" w:hAnsi="仿宋" w:eastAsia="仿宋" w:cs="仿宋"/>
          <w:szCs w:val="32"/>
        </w:rPr>
      </w:pPr>
      <w:bookmarkStart w:id="64" w:name="_Toc28432"/>
      <w:r>
        <w:rPr>
          <w:rFonts w:hint="eastAsia"/>
        </w:rPr>
        <w:t>第三章 本次挂牌的有关机构</w:t>
      </w:r>
      <w:bookmarkEnd w:id="64"/>
    </w:p>
    <w:p>
      <w:pPr>
        <w:ind w:firstLine="480"/>
        <w:outlineLvl w:val="1"/>
        <w:rPr>
          <w:rFonts w:ascii="宋体" w:hAnsi="宋体"/>
          <w:b/>
          <w:bCs/>
          <w:sz w:val="28"/>
          <w:szCs w:val="28"/>
        </w:rPr>
      </w:pPr>
      <w:bookmarkStart w:id="65" w:name="_Toc30683"/>
      <w:r>
        <w:rPr>
          <w:rFonts w:hint="eastAsia" w:ascii="宋体" w:hAnsi="宋体"/>
          <w:b/>
          <w:bCs/>
          <w:sz w:val="28"/>
          <w:szCs w:val="28"/>
        </w:rPr>
        <w:t>一、推荐机构</w:t>
      </w:r>
      <w:bookmarkEnd w:id="65"/>
    </w:p>
    <w:p>
      <w:pPr>
        <w:ind w:firstLine="480"/>
        <w:jc w:val="left"/>
        <w:rPr>
          <w:rFonts w:ascii="宋体" w:hAnsi="宋体"/>
        </w:rPr>
      </w:pPr>
      <w:r>
        <w:rPr>
          <w:rFonts w:hint="eastAsia" w:ascii="宋体" w:hAnsi="宋体"/>
        </w:rPr>
        <w:t>名    称： 烟台瀚永投资有限公司</w:t>
      </w:r>
    </w:p>
    <w:p>
      <w:pPr>
        <w:ind w:firstLine="480"/>
        <w:jc w:val="left"/>
        <w:rPr>
          <w:rFonts w:ascii="宋体" w:hAnsi="宋体"/>
        </w:rPr>
      </w:pPr>
      <w:r>
        <w:rPr>
          <w:rFonts w:hint="eastAsia" w:ascii="宋体" w:hAnsi="宋体"/>
        </w:rPr>
        <w:t>办公地址： 烟台市福山区永达街1021号福山政务中心10层1007室</w:t>
      </w:r>
    </w:p>
    <w:p>
      <w:pPr>
        <w:ind w:firstLine="480"/>
        <w:jc w:val="left"/>
        <w:rPr>
          <w:rFonts w:ascii="宋体" w:hAnsi="宋体"/>
        </w:rPr>
      </w:pPr>
      <w:r>
        <w:rPr>
          <w:rFonts w:hint="eastAsia" w:ascii="宋体" w:hAnsi="宋体"/>
        </w:rPr>
        <w:t xml:space="preserve">法定代表人（负责人）：杨永斌 </w:t>
      </w:r>
    </w:p>
    <w:p>
      <w:pPr>
        <w:ind w:firstLine="480"/>
        <w:jc w:val="left"/>
        <w:rPr>
          <w:rFonts w:ascii="宋体" w:hAnsi="宋体"/>
        </w:rPr>
      </w:pPr>
      <w:r>
        <w:rPr>
          <w:rFonts w:hint="eastAsia" w:ascii="宋体" w:hAnsi="宋体"/>
        </w:rPr>
        <w:t>推荐经办人：魏俊瑜、梁丹旎</w:t>
      </w:r>
    </w:p>
    <w:p>
      <w:pPr>
        <w:ind w:firstLine="480"/>
        <w:jc w:val="left"/>
        <w:rPr>
          <w:rFonts w:ascii="宋体" w:hAnsi="宋体"/>
        </w:rPr>
      </w:pPr>
      <w:r>
        <w:rPr>
          <w:rFonts w:hint="eastAsia" w:ascii="宋体" w:hAnsi="宋体"/>
        </w:rPr>
        <w:t>电    话：0535-6321200</w:t>
      </w:r>
    </w:p>
    <w:p>
      <w:pPr>
        <w:ind w:firstLine="480"/>
        <w:outlineLvl w:val="1"/>
        <w:rPr>
          <w:rFonts w:ascii="宋体" w:hAnsi="宋体"/>
          <w:b/>
          <w:bCs/>
          <w:sz w:val="28"/>
          <w:szCs w:val="28"/>
        </w:rPr>
      </w:pPr>
      <w:bookmarkStart w:id="66" w:name="_Toc10105"/>
      <w:r>
        <w:rPr>
          <w:rFonts w:hint="eastAsia" w:ascii="宋体" w:hAnsi="宋体"/>
          <w:b/>
          <w:bCs/>
          <w:sz w:val="28"/>
          <w:szCs w:val="28"/>
        </w:rPr>
        <w:t>二、审计机构</w:t>
      </w:r>
      <w:bookmarkEnd w:id="66"/>
    </w:p>
    <w:p>
      <w:pPr>
        <w:ind w:firstLine="480"/>
        <w:rPr>
          <w:rFonts w:ascii="宋体" w:hAnsi="宋体"/>
        </w:rPr>
      </w:pPr>
      <w:r>
        <w:rPr>
          <w:rFonts w:hint="eastAsia" w:ascii="宋体" w:hAnsi="宋体"/>
        </w:rPr>
        <w:t>名    称：</w:t>
      </w:r>
      <w:bookmarkStart w:id="67" w:name="_Hlk36106694"/>
      <w:r>
        <w:rPr>
          <w:rFonts w:hint="eastAsia" w:ascii="宋体" w:hAnsi="宋体"/>
        </w:rPr>
        <w:t>山东舜天信诚会计师事务所有限公司</w:t>
      </w:r>
      <w:bookmarkEnd w:id="67"/>
    </w:p>
    <w:p>
      <w:pPr>
        <w:ind w:firstLine="480"/>
        <w:rPr>
          <w:rFonts w:ascii="宋体" w:hAnsi="宋体"/>
        </w:rPr>
      </w:pPr>
      <w:r>
        <w:rPr>
          <w:rFonts w:hint="eastAsia" w:ascii="宋体" w:hAnsi="宋体"/>
        </w:rPr>
        <w:t>办公地址：山东省济南市历下区花园路189-2号畅远商座甲座三楼</w:t>
      </w:r>
    </w:p>
    <w:p>
      <w:pPr>
        <w:ind w:firstLine="480"/>
        <w:rPr>
          <w:rFonts w:ascii="宋体" w:hAnsi="宋体"/>
        </w:rPr>
      </w:pPr>
      <w:r>
        <w:rPr>
          <w:rFonts w:hint="eastAsia" w:ascii="宋体" w:hAnsi="宋体"/>
        </w:rPr>
        <w:t>负 责 人：肖东义</w:t>
      </w:r>
    </w:p>
    <w:p>
      <w:pPr>
        <w:ind w:firstLine="480"/>
        <w:rPr>
          <w:rFonts w:ascii="宋体" w:hAnsi="宋体"/>
        </w:rPr>
      </w:pPr>
      <w:r>
        <w:rPr>
          <w:rFonts w:hint="eastAsia" w:ascii="宋体" w:hAnsi="宋体"/>
        </w:rPr>
        <w:t>经办注册会计师：肖东义</w:t>
      </w:r>
      <w:r>
        <w:rPr>
          <w:rFonts w:hint="eastAsia" w:ascii="宋体" w:hAnsi="宋体"/>
          <w:lang w:eastAsia="zh-CN"/>
        </w:rPr>
        <w:t>、</w:t>
      </w:r>
      <w:r>
        <w:rPr>
          <w:rFonts w:hint="eastAsia" w:ascii="宋体" w:hAnsi="宋体"/>
        </w:rPr>
        <w:t>朱大廷</w:t>
      </w:r>
    </w:p>
    <w:p>
      <w:pPr>
        <w:ind w:firstLine="480"/>
        <w:rPr>
          <w:rFonts w:ascii="宋体" w:hAnsi="宋体"/>
        </w:rPr>
      </w:pPr>
      <w:r>
        <w:rPr>
          <w:rFonts w:hint="eastAsia" w:ascii="宋体" w:hAnsi="宋体"/>
        </w:rPr>
        <w:t>电    话：0</w:t>
      </w:r>
      <w:r>
        <w:rPr>
          <w:rFonts w:ascii="宋体" w:hAnsi="宋体"/>
        </w:rPr>
        <w:t>531</w:t>
      </w:r>
      <w:r>
        <w:rPr>
          <w:rFonts w:hint="eastAsia" w:ascii="宋体" w:hAnsi="宋体"/>
        </w:rPr>
        <w:t>-</w:t>
      </w:r>
      <w:r>
        <w:rPr>
          <w:rFonts w:ascii="宋体" w:hAnsi="宋体"/>
        </w:rPr>
        <w:t>86550426</w:t>
      </w:r>
    </w:p>
    <w:p>
      <w:pPr>
        <w:ind w:firstLine="480"/>
        <w:outlineLvl w:val="1"/>
        <w:rPr>
          <w:rFonts w:ascii="宋体" w:hAnsi="宋体"/>
          <w:sz w:val="28"/>
          <w:szCs w:val="28"/>
        </w:rPr>
      </w:pPr>
      <w:bookmarkStart w:id="68" w:name="_Toc10320"/>
      <w:r>
        <w:rPr>
          <w:rFonts w:hint="eastAsia" w:ascii="宋体" w:hAnsi="宋体"/>
          <w:b/>
          <w:bCs/>
          <w:sz w:val="28"/>
          <w:szCs w:val="28"/>
        </w:rPr>
        <w:t>三、股权登记托管机构</w:t>
      </w:r>
      <w:bookmarkEnd w:id="68"/>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 xml:space="preserve">注册地址：山东省淄博市张店区人民西路228号金融大厦3、4、20、21、22层 </w:t>
      </w:r>
    </w:p>
    <w:p>
      <w:pPr>
        <w:ind w:firstLine="480"/>
        <w:rPr>
          <w:rFonts w:ascii="宋体" w:hAnsi="宋体"/>
        </w:rPr>
      </w:pPr>
      <w:r>
        <w:rPr>
          <w:rFonts w:hint="eastAsia" w:ascii="宋体" w:hAnsi="宋体"/>
        </w:rPr>
        <w:t>电    话：0533-277</w:t>
      </w:r>
      <w:r>
        <w:rPr>
          <w:rFonts w:ascii="宋体" w:hAnsi="宋体"/>
        </w:rPr>
        <w:t>8470</w:t>
      </w:r>
    </w:p>
    <w:p>
      <w:pPr>
        <w:ind w:firstLine="480"/>
        <w:rPr>
          <w:rFonts w:ascii="宋体" w:hAnsi="宋体"/>
        </w:rPr>
      </w:pPr>
      <w:r>
        <w:rPr>
          <w:rFonts w:hint="eastAsia" w:ascii="宋体" w:hAnsi="宋体"/>
        </w:rPr>
        <w:t>传    真：0533-277</w:t>
      </w:r>
      <w:r>
        <w:rPr>
          <w:rFonts w:ascii="宋体" w:hAnsi="宋体"/>
        </w:rPr>
        <w:t>8470</w:t>
      </w:r>
    </w:p>
    <w:p>
      <w:pPr>
        <w:rPr>
          <w:rFonts w:ascii="仿宋" w:hAnsi="仿宋" w:eastAsia="仿宋" w:cs="仿宋"/>
          <w:sz w:val="32"/>
          <w:szCs w:val="32"/>
        </w:rPr>
      </w:pPr>
    </w:p>
    <w:p>
      <w:pPr>
        <w:rPr>
          <w:rFonts w:ascii="仿宋" w:hAnsi="仿宋" w:eastAsia="仿宋" w:cs="仿宋"/>
          <w:sz w:val="32"/>
          <w:szCs w:val="32"/>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Arial Narrow">
    <w:altName w:val="Arial"/>
    <w:panose1 w:val="00000000000000000000"/>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posOffset>2508250</wp:posOffset>
              </wp:positionH>
              <wp:positionV relativeFrom="paragraph">
                <wp:posOffset>635</wp:posOffset>
              </wp:positionV>
              <wp:extent cx="488950" cy="1828800"/>
              <wp:effectExtent l="0" t="0" r="6350" b="14605"/>
              <wp:wrapNone/>
              <wp:docPr id="2" name="文本框 2"/>
              <wp:cNvGraphicFramePr/>
              <a:graphic xmlns:a="http://schemas.openxmlformats.org/drawingml/2006/main">
                <a:graphicData uri="http://schemas.microsoft.com/office/word/2010/wordprocessingShape">
                  <wps:wsp>
                    <wps:cNvSpPr txBox="1"/>
                    <wps:spPr>
                      <a:xfrm>
                        <a:off x="0" y="0"/>
                        <a:ext cx="488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5pt;margin-top:0.05pt;height:144pt;width:38.5pt;mso-position-horizontal-relative:margin;z-index:251659264;mso-width-relative:page;mso-height-relative:page;" filled="f" stroked="f" coordsize="21600,21600" o:gfxdata="UEsDBAoAAAAAAIdO4kAAAAAAAAAAAAAAAAAEAAAAZHJzL1BLAwQUAAAACACHTuJAOA5oV9YAAAAI&#10;AQAADwAAAGRycy9kb3ducmV2LnhtbE2PzU7DMBCE70i8g7VI3Kid8JeGOD0g6AFOpAj16CabOBCv&#10;o9hNC0/P9gTH0bczO1Osjm4QM06h96QhWSgQSLVveuo0vG+erzIQIRpqzOAJNXxjgFV5flaYvPEH&#10;esO5ip3gEAq50WBjHHMpQ23RmbDwIxKz1k/ORJZTJ5vJHDjcDTJV6k460xN/sGbER4v1V7V3XOPj&#10;Vbn1T2u37sW0obKbef30qfXlRaIeQEQ8xr9jONVnD5Tcaef31AQxaLhe3vKWeAKC8c19ynKnIc2y&#10;BGRZyP8Dyl9QSwMEFAAAAAgAh07iQME6lhwxAgAAVgQAAA4AAABkcnMvZTJvRG9jLnhtbK1US44T&#10;MRDdI3EHy3vSSYBRE6UzChMFIUXMSAGxdtzudEv+YTvpDgeAG7Biw55z5Rw89ycDA4tZsHGqq8qv&#10;6j1XZX7dKEmOwvnK6IxORmNKhOYmr/Q+ox/er5+llPjAdM6k0SKjJ+Hp9eLpk3ltZ2JqSiNz4QhA&#10;tJ/VNqNlCHaWJJ6XQjE/MlZoBAvjFAv4dPskd6wGupLJdDy+SmrjcusMF97Du+qCtEd0jwE0RVFx&#10;sTL8oIQOHaoTkgVQ8mVlPV203RaF4OG2KLwIRGYUTEN7ogjsXTyTxZzN9o7ZsuJ9C+wxLTzgpFil&#10;UfQCtWKBkYOr/oJSFXfGmyKMuFFJR6RVBCwm4wfabEtmRcsFUnt7Ed3/P1j+7njnSJVndEqJZgoP&#10;fv729fz95/nHFzKN8tTWz5C1tcgLzWvTYGgGv4czsm4Kp+Iv+BDEIe7pIq5oAuFwvkjTVy8R4QhN&#10;0mmajlv1k/vb1vnwRhhFopFRh8drNWXHjQ/oBKlDSiymzbqSsn1AqUmd0avnwP8jghtS42Lk0PUa&#10;rdDsmp7YzuQn8HKmGwxv+bpC8Q3z4Y45TAIaxq6EWxyFNChieouS0rjP//LHfDwQopTUmKyM+k8H&#10;5gQl8q3G0wEyDIYbjN1g6IO6MRjWCbbQ8tbEBRfkYBbOqI9YoWWsghDTHLUyGgbzJnTzjRXkYrls&#10;kzBsloWN3loeoaNI3i4PARK2ykZZOi16tTBureD9asR5/v27zbr/O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gOaFfWAAAACAEAAA8AAAAAAAAAAQAgAAAAIgAAAGRycy9kb3ducmV2LnhtbFBL&#10;AQIUABQAAAAIAIdO4kDBOpYcMQIAAFYEAAAOAAAAAAAAAAEAIAAAACUBAABkcnMvZTJvRG9jLnht&#10;bFBLBQYAAAAABgAGAFkBAADIBQAAAAA=&#10;">
              <v:fill on="f" focussize="0,0"/>
              <v:stroke on="f" weight="0.5pt"/>
              <v:imagedata o:title=""/>
              <o:lock v:ext="edit" aspectratio="f"/>
              <v:textbox inset="0mm,0mm,0mm,0mm" style="mso-fit-shape-to-text:t;">
                <w:txbxContent>
                  <w:p>
                    <w:pPr>
                      <w:pStyle w:val="9"/>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rPr>
      <w:t>烟台瀚永投资有限公司                                                      挂牌转让说明书摘要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81CD7"/>
    <w:multiLevelType w:val="singleLevel"/>
    <w:tmpl w:val="59F81CD7"/>
    <w:lvl w:ilvl="0" w:tentative="0">
      <w:start w:val="2"/>
      <w:numFmt w:val="chineseCounting"/>
      <w:suff w:val="nothing"/>
      <w:lvlText w:val="（%1）"/>
      <w:lvlJc w:val="left"/>
    </w:lvl>
  </w:abstractNum>
  <w:abstractNum w:abstractNumId="1">
    <w:nsid w:val="5A0BE1DE"/>
    <w:multiLevelType w:val="singleLevel"/>
    <w:tmpl w:val="5A0BE1D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B"/>
    <w:rsid w:val="0003617F"/>
    <w:rsid w:val="000457D6"/>
    <w:rsid w:val="00050FE8"/>
    <w:rsid w:val="00055162"/>
    <w:rsid w:val="000669A9"/>
    <w:rsid w:val="00076722"/>
    <w:rsid w:val="00077EEA"/>
    <w:rsid w:val="000A3763"/>
    <w:rsid w:val="000E5D50"/>
    <w:rsid w:val="000F6BEC"/>
    <w:rsid w:val="001141FE"/>
    <w:rsid w:val="001272BF"/>
    <w:rsid w:val="0017622D"/>
    <w:rsid w:val="001821C5"/>
    <w:rsid w:val="001851D9"/>
    <w:rsid w:val="00186461"/>
    <w:rsid w:val="00187174"/>
    <w:rsid w:val="001A324A"/>
    <w:rsid w:val="001E0B5F"/>
    <w:rsid w:val="00270385"/>
    <w:rsid w:val="002720B0"/>
    <w:rsid w:val="00273CF1"/>
    <w:rsid w:val="00280BCE"/>
    <w:rsid w:val="0028468D"/>
    <w:rsid w:val="002879A6"/>
    <w:rsid w:val="003070D4"/>
    <w:rsid w:val="00310354"/>
    <w:rsid w:val="00326182"/>
    <w:rsid w:val="00344E1A"/>
    <w:rsid w:val="00346960"/>
    <w:rsid w:val="00354DC9"/>
    <w:rsid w:val="00367382"/>
    <w:rsid w:val="00390064"/>
    <w:rsid w:val="003B30D7"/>
    <w:rsid w:val="003E77D6"/>
    <w:rsid w:val="0040519D"/>
    <w:rsid w:val="00446A47"/>
    <w:rsid w:val="00495114"/>
    <w:rsid w:val="004C1CBF"/>
    <w:rsid w:val="004E4ADD"/>
    <w:rsid w:val="00502C24"/>
    <w:rsid w:val="0051639C"/>
    <w:rsid w:val="00527BFA"/>
    <w:rsid w:val="00532F3E"/>
    <w:rsid w:val="00564886"/>
    <w:rsid w:val="00580957"/>
    <w:rsid w:val="005A3BD9"/>
    <w:rsid w:val="005B4E9B"/>
    <w:rsid w:val="005C39AC"/>
    <w:rsid w:val="005D08FB"/>
    <w:rsid w:val="005E2651"/>
    <w:rsid w:val="00604CD3"/>
    <w:rsid w:val="00611CCD"/>
    <w:rsid w:val="00621C1E"/>
    <w:rsid w:val="00630E37"/>
    <w:rsid w:val="0063650B"/>
    <w:rsid w:val="00651908"/>
    <w:rsid w:val="00652E61"/>
    <w:rsid w:val="006919CB"/>
    <w:rsid w:val="006C7A75"/>
    <w:rsid w:val="006D10AA"/>
    <w:rsid w:val="006D4494"/>
    <w:rsid w:val="006F2A51"/>
    <w:rsid w:val="0071535B"/>
    <w:rsid w:val="0072035D"/>
    <w:rsid w:val="00793ADF"/>
    <w:rsid w:val="007E7F60"/>
    <w:rsid w:val="007F4589"/>
    <w:rsid w:val="00802380"/>
    <w:rsid w:val="00842F11"/>
    <w:rsid w:val="00857287"/>
    <w:rsid w:val="0086275D"/>
    <w:rsid w:val="00866DFE"/>
    <w:rsid w:val="008827D0"/>
    <w:rsid w:val="008B1D0C"/>
    <w:rsid w:val="008D0FF5"/>
    <w:rsid w:val="008D1648"/>
    <w:rsid w:val="008F5514"/>
    <w:rsid w:val="009454EF"/>
    <w:rsid w:val="00954BFB"/>
    <w:rsid w:val="009824E5"/>
    <w:rsid w:val="00984B8F"/>
    <w:rsid w:val="009A54AB"/>
    <w:rsid w:val="009D03AA"/>
    <w:rsid w:val="009E27DA"/>
    <w:rsid w:val="00A03E08"/>
    <w:rsid w:val="00A126B9"/>
    <w:rsid w:val="00A351E0"/>
    <w:rsid w:val="00A37082"/>
    <w:rsid w:val="00A4371C"/>
    <w:rsid w:val="00B00450"/>
    <w:rsid w:val="00B043A0"/>
    <w:rsid w:val="00B17078"/>
    <w:rsid w:val="00B456C3"/>
    <w:rsid w:val="00B5088D"/>
    <w:rsid w:val="00B5412A"/>
    <w:rsid w:val="00B90B34"/>
    <w:rsid w:val="00BA767C"/>
    <w:rsid w:val="00C058F4"/>
    <w:rsid w:val="00C1390F"/>
    <w:rsid w:val="00C840AA"/>
    <w:rsid w:val="00CE51A7"/>
    <w:rsid w:val="00CF2560"/>
    <w:rsid w:val="00CF55ED"/>
    <w:rsid w:val="00CF5FD4"/>
    <w:rsid w:val="00D1155A"/>
    <w:rsid w:val="00D1230C"/>
    <w:rsid w:val="00D24DE9"/>
    <w:rsid w:val="00D40756"/>
    <w:rsid w:val="00D43AA2"/>
    <w:rsid w:val="00D507B3"/>
    <w:rsid w:val="00D56A6B"/>
    <w:rsid w:val="00D77C16"/>
    <w:rsid w:val="00DC7EB9"/>
    <w:rsid w:val="00E101A1"/>
    <w:rsid w:val="00E12641"/>
    <w:rsid w:val="00E126BD"/>
    <w:rsid w:val="00E54E20"/>
    <w:rsid w:val="00E9510B"/>
    <w:rsid w:val="00EA7AB7"/>
    <w:rsid w:val="00EC5CB1"/>
    <w:rsid w:val="00ED085B"/>
    <w:rsid w:val="00F07907"/>
    <w:rsid w:val="00F11DBC"/>
    <w:rsid w:val="00F13BE6"/>
    <w:rsid w:val="00F54ADE"/>
    <w:rsid w:val="00FE6B7C"/>
    <w:rsid w:val="015D5EBB"/>
    <w:rsid w:val="0DC55A5C"/>
    <w:rsid w:val="0E1D4990"/>
    <w:rsid w:val="0F406E33"/>
    <w:rsid w:val="0F876D89"/>
    <w:rsid w:val="1A523845"/>
    <w:rsid w:val="1CE7621D"/>
    <w:rsid w:val="1D665113"/>
    <w:rsid w:val="27614DC9"/>
    <w:rsid w:val="2C0D4202"/>
    <w:rsid w:val="316C2956"/>
    <w:rsid w:val="35D56E7B"/>
    <w:rsid w:val="460F7809"/>
    <w:rsid w:val="4644478D"/>
    <w:rsid w:val="469022A7"/>
    <w:rsid w:val="497B150C"/>
    <w:rsid w:val="53B20807"/>
    <w:rsid w:val="55A94E7F"/>
    <w:rsid w:val="5BBB5511"/>
    <w:rsid w:val="659642BC"/>
    <w:rsid w:val="77531126"/>
    <w:rsid w:val="7CB57BC0"/>
    <w:rsid w:val="7CEA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2"/>
    </w:rPr>
  </w:style>
  <w:style w:type="paragraph" w:styleId="3">
    <w:name w:val="heading 2"/>
    <w:basedOn w:val="1"/>
    <w:next w:val="1"/>
    <w:link w:val="34"/>
    <w:qFormat/>
    <w:uiPriority w:val="0"/>
    <w:pPr>
      <w:keepNext/>
      <w:keepLines/>
      <w:spacing w:before="20" w:after="20" w:line="413" w:lineRule="auto"/>
      <w:ind w:left="200" w:leftChars="200"/>
      <w:outlineLvl w:val="1"/>
    </w:pPr>
    <w:rPr>
      <w:rFonts w:ascii="Arial" w:hAnsi="Arial"/>
      <w:b/>
      <w:sz w:val="28"/>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31"/>
    <w:qFormat/>
    <w:uiPriority w:val="0"/>
    <w:pPr>
      <w:jc w:val="left"/>
    </w:pPr>
  </w:style>
  <w:style w:type="paragraph" w:styleId="6">
    <w:name w:val="List 2"/>
    <w:basedOn w:val="1"/>
    <w:qFormat/>
    <w:uiPriority w:val="99"/>
    <w:pPr>
      <w:ind w:left="100" w:leftChars="200" w:hanging="200" w:hangingChars="200"/>
    </w:pPr>
  </w:style>
  <w:style w:type="paragraph" w:styleId="7">
    <w:name w:val="Plain Text"/>
    <w:basedOn w:val="1"/>
    <w:link w:val="32"/>
    <w:qFormat/>
    <w:uiPriority w:val="0"/>
    <w:pPr>
      <w:widowControl/>
      <w:spacing w:before="100" w:beforeAutospacing="1" w:after="100" w:afterAutospacing="1" w:line="240" w:lineRule="auto"/>
      <w:jc w:val="left"/>
    </w:pPr>
    <w:rPr>
      <w:rFonts w:ascii="宋体" w:hAnsi="宋体" w:cs="宋体"/>
      <w:kern w:val="0"/>
    </w:rPr>
  </w:style>
  <w:style w:type="paragraph" w:styleId="8">
    <w:name w:val="Balloon Text"/>
    <w:basedOn w:val="1"/>
    <w:link w:val="22"/>
    <w:qFormat/>
    <w:uiPriority w:val="0"/>
    <w:pPr>
      <w:spacing w:line="240" w:lineRule="auto"/>
    </w:pPr>
    <w:rPr>
      <w:sz w:val="18"/>
      <w:szCs w:val="18"/>
    </w:rPr>
  </w:style>
  <w:style w:type="paragraph" w:styleId="9">
    <w:name w:val="footer"/>
    <w:basedOn w:val="1"/>
    <w:link w:val="27"/>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Emphasis"/>
    <w:basedOn w:val="15"/>
    <w:qFormat/>
    <w:uiPriority w:val="20"/>
    <w:rPr>
      <w:i/>
    </w:rPr>
  </w:style>
  <w:style w:type="character" w:styleId="19">
    <w:name w:val="Hyperlink"/>
    <w:qFormat/>
    <w:uiPriority w:val="99"/>
    <w:rPr>
      <w:color w:val="0000FF"/>
      <w:u w:val="single"/>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
    <w:name w:val="批注框文本 字符"/>
    <w:link w:val="8"/>
    <w:qFormat/>
    <w:uiPriority w:val="0"/>
    <w:rPr>
      <w:kern w:val="2"/>
      <w:sz w:val="18"/>
      <w:szCs w:val="18"/>
    </w:rPr>
  </w:style>
  <w:style w:type="paragraph" w:customStyle="1" w:styleId="23">
    <w:name w:val="修订1"/>
    <w:hidden/>
    <w:unhideWhenUsed/>
    <w:qFormat/>
    <w:uiPriority w:val="99"/>
    <w:rPr>
      <w:rFonts w:ascii="Times New Roman" w:hAnsi="Times New Roman" w:eastAsia="宋体" w:cs="Times New Roman"/>
      <w:kern w:val="2"/>
      <w:sz w:val="24"/>
      <w:szCs w:val="24"/>
      <w:lang w:val="en-US" w:eastAsia="zh-CN" w:bidi="ar-SA"/>
    </w:rPr>
  </w:style>
  <w:style w:type="paragraph" w:styleId="24">
    <w:name w:val="List Paragraph"/>
    <w:basedOn w:val="1"/>
    <w:qFormat/>
    <w:uiPriority w:val="99"/>
    <w:pPr>
      <w:ind w:firstLine="420" w:firstLineChars="200"/>
    </w:pPr>
  </w:style>
  <w:style w:type="character" w:customStyle="1" w:styleId="25">
    <w:name w:val="标题 3 字符"/>
    <w:link w:val="4"/>
    <w:qFormat/>
    <w:uiPriority w:val="0"/>
    <w:rPr>
      <w:b/>
      <w:bCs/>
      <w:kern w:val="2"/>
      <w:sz w:val="32"/>
      <w:szCs w:val="32"/>
    </w:rPr>
  </w:style>
  <w:style w:type="character" w:customStyle="1" w:styleId="26">
    <w:name w:val="页眉 字符"/>
    <w:link w:val="10"/>
    <w:qFormat/>
    <w:uiPriority w:val="0"/>
    <w:rPr>
      <w:kern w:val="2"/>
      <w:sz w:val="18"/>
      <w:szCs w:val="18"/>
    </w:rPr>
  </w:style>
  <w:style w:type="character" w:customStyle="1" w:styleId="27">
    <w:name w:val="页脚 字符"/>
    <w:link w:val="9"/>
    <w:qFormat/>
    <w:uiPriority w:val="99"/>
    <w:rPr>
      <w:kern w:val="2"/>
      <w:sz w:val="18"/>
      <w:szCs w:val="18"/>
    </w:rPr>
  </w:style>
  <w:style w:type="character" w:customStyle="1" w:styleId="28">
    <w:name w:val="font11"/>
    <w:basedOn w:val="15"/>
    <w:qFormat/>
    <w:uiPriority w:val="0"/>
    <w:rPr>
      <w:rFonts w:hint="eastAsia" w:ascii="宋体" w:hAnsi="宋体" w:eastAsia="宋体" w:cs="宋体"/>
      <w:color w:val="000000"/>
      <w:sz w:val="18"/>
      <w:szCs w:val="18"/>
      <w:u w:val="none"/>
    </w:rPr>
  </w:style>
  <w:style w:type="character" w:customStyle="1" w:styleId="29">
    <w:name w:val="font41"/>
    <w:basedOn w:val="15"/>
    <w:qFormat/>
    <w:uiPriority w:val="0"/>
    <w:rPr>
      <w:rFonts w:hint="eastAsia" w:ascii="宋体" w:hAnsi="宋体" w:eastAsia="宋体" w:cs="宋体"/>
      <w:b/>
      <w:color w:val="000000"/>
      <w:sz w:val="18"/>
      <w:szCs w:val="18"/>
      <w:u w:val="none"/>
    </w:rPr>
  </w:style>
  <w:style w:type="character" w:customStyle="1" w:styleId="30">
    <w:name w:val="font21"/>
    <w:basedOn w:val="15"/>
    <w:uiPriority w:val="0"/>
    <w:rPr>
      <w:rFonts w:hint="eastAsia" w:ascii="宋体" w:hAnsi="宋体" w:eastAsia="宋体" w:cs="宋体"/>
      <w:color w:val="000000"/>
      <w:sz w:val="18"/>
      <w:szCs w:val="18"/>
      <w:u w:val="none"/>
    </w:rPr>
  </w:style>
  <w:style w:type="character" w:customStyle="1" w:styleId="31">
    <w:name w:val="批注文字 字符"/>
    <w:basedOn w:val="15"/>
    <w:link w:val="5"/>
    <w:qFormat/>
    <w:uiPriority w:val="0"/>
    <w:rPr>
      <w:rFonts w:ascii="Times New Roman" w:hAnsi="Times New Roman" w:eastAsia="宋体" w:cs="Times New Roman"/>
      <w:kern w:val="2"/>
      <w:sz w:val="24"/>
      <w:szCs w:val="24"/>
    </w:rPr>
  </w:style>
  <w:style w:type="character" w:customStyle="1" w:styleId="32">
    <w:name w:val="纯文本 字符"/>
    <w:basedOn w:val="15"/>
    <w:link w:val="7"/>
    <w:qFormat/>
    <w:uiPriority w:val="0"/>
    <w:rPr>
      <w:rFonts w:ascii="宋体" w:hAnsi="宋体" w:eastAsia="宋体" w:cs="宋体"/>
      <w:sz w:val="24"/>
      <w:szCs w:val="24"/>
    </w:rPr>
  </w:style>
  <w:style w:type="character" w:customStyle="1" w:styleId="33">
    <w:name w:val="页码1"/>
    <w:qFormat/>
    <w:uiPriority w:val="0"/>
  </w:style>
  <w:style w:type="character" w:customStyle="1" w:styleId="34">
    <w:name w:val="标题 2 字符"/>
    <w:link w:val="3"/>
    <w:qFormat/>
    <w:uiPriority w:val="0"/>
    <w:rPr>
      <w:rFonts w:ascii="Arial" w:hAnsi="Arial" w:eastAsia="宋体" w:cs="Times New Roman"/>
      <w:b/>
      <w:kern w:val="2"/>
      <w:sz w:val="28"/>
      <w:szCs w:val="24"/>
    </w:rPr>
  </w:style>
  <w:style w:type="paragraph" w:customStyle="1" w:styleId="35">
    <w:name w:val="Table Paragraph"/>
    <w:basedOn w:val="1"/>
    <w:qFormat/>
    <w:uiPriority w:val="1"/>
    <w:pPr>
      <w:spacing w:before="27"/>
      <w:jc w:val="center"/>
    </w:pPr>
    <w:rPr>
      <w:rFonts w:ascii="宋体" w:hAnsi="宋体" w:cs="宋体"/>
      <w:lang w:val="zh-CN" w:bidi="zh-CN"/>
    </w:rPr>
  </w:style>
  <w:style w:type="paragraph" w:customStyle="1" w:styleId="36">
    <w:name w:val="p0"/>
    <w:basedOn w:val="1"/>
    <w:qFormat/>
    <w:uiPriority w:val="0"/>
    <w:pPr>
      <w:widowControl/>
      <w:spacing w:line="288" w:lineRule="auto"/>
    </w:pPr>
    <w:rPr>
      <w:rFonts w:ascii="Calibri" w:hAnsi="Calibri" w:cs="宋体"/>
      <w:color w:val="5A5A5A"/>
      <w:kern w:val="0"/>
    </w:rPr>
  </w:style>
  <w:style w:type="paragraph" w:customStyle="1" w:styleId="37">
    <w:name w:val="正文 A"/>
    <w:qFormat/>
    <w:uiPriority w:val="0"/>
    <w:pPr>
      <w:framePr w:wrap="around" w:vAnchor="margin" w:hAnchor="text" w:yAlign="top"/>
      <w:widowControl w:val="0"/>
      <w:spacing w:line="440" w:lineRule="atLeast"/>
      <w:ind w:firstLine="200"/>
      <w:jc w:val="both"/>
    </w:pPr>
    <w:rPr>
      <w:rFonts w:ascii="Times New Roman" w:hAnsi="Times New Roman" w:eastAsia="Arial Unicode MS" w:cs="Arial Unicode MS"/>
      <w:color w:val="000000"/>
      <w:kern w:val="2"/>
      <w:sz w:val="24"/>
      <w:szCs w:val="24"/>
      <w:u w:color="000000"/>
      <w:lang w:val="en-US" w:eastAsia="zh-CN" w:bidi="ar-SA"/>
    </w:rPr>
  </w:style>
  <w:style w:type="paragraph" w:customStyle="1" w:styleId="38">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9">
    <w:name w:val="未处理的提及1"/>
    <w:basedOn w:val="15"/>
    <w:semiHidden/>
    <w:unhideWhenUsed/>
    <w:qFormat/>
    <w:uiPriority w:val="99"/>
    <w:rPr>
      <w:color w:val="605E5C"/>
      <w:shd w:val="clear" w:color="auto" w:fill="E1DFDD"/>
    </w:rPr>
  </w:style>
  <w:style w:type="character" w:customStyle="1" w:styleId="40">
    <w:name w:val="font01"/>
    <w:basedOn w:val="15"/>
    <w:qFormat/>
    <w:uiPriority w:val="0"/>
    <w:rPr>
      <w:rFonts w:hint="eastAsia" w:ascii="宋体" w:hAnsi="宋体" w:eastAsia="宋体" w:cs="宋体"/>
      <w:b/>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defTabSz="914400">
              <a:defRPr lang="zh-CN" sz="1600" b="1" i="0" u="none" strike="noStrike" kern="1200" cap="none" spc="20" baseline="0">
                <a:solidFill>
                  <a:schemeClr val="tx1">
                    <a:lumMod val="50000"/>
                    <a:lumOff val="50000"/>
                  </a:schemeClr>
                </a:solidFill>
                <a:latin typeface="+mn-lt"/>
                <a:ea typeface="+mn-ea"/>
                <a:cs typeface="+mn-cs"/>
              </a:defRPr>
            </a:pPr>
            <a:r>
              <a:t>股权架构</a:t>
            </a:r>
          </a:p>
        </c:rich>
      </c:tx>
      <c:layout/>
      <c:overlay val="0"/>
      <c:spPr>
        <a:noFill/>
        <a:ln>
          <a:noFill/>
        </a:ln>
        <a:effectLst/>
      </c:spPr>
    </c:title>
    <c:autoTitleDeleted val="0"/>
    <c:plotArea>
      <c:layout/>
      <c:pieChart>
        <c:varyColors val="1"/>
        <c:ser>
          <c:idx val="1"/>
          <c:order val="0"/>
          <c:tx>
            <c:strRef>
              <c:f>Sheet1!$C$1</c:f>
              <c:strCache>
                <c:ptCount val="1"/>
                <c:pt idx="0">
                  <c:v>认缴金额</c:v>
                </c:pt>
              </c:strCache>
            </c:strRef>
          </c:tx>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noFill/>
                <a:round/>
              </a:ln>
              <a:effectLst/>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65000"/>
                        <a:lumOff val="3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王娟</c:v>
                </c:pt>
              </c:strCache>
            </c:strRef>
          </c:cat>
          <c:val>
            <c:numRef>
              <c:f>Sheet1!$C$2</c:f>
              <c:numCache>
                <c:formatCode>General</c:formatCode>
                <c:ptCount val="1"/>
                <c:pt idx="0">
                  <c:v>20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420491803278689"/>
          <c:y val="0.868524251805986"/>
          <c:w val="0.148946135831382"/>
          <c:h val="0.0883384932920537"/>
        </c:manualLayout>
      </c:layout>
      <c:overlay val="0"/>
      <c:spPr>
        <a:noFill/>
        <a:ln>
          <a:noFill/>
        </a:ln>
        <a:effectLst/>
      </c:spPr>
      <c:txPr>
        <a:bodyPr rot="0" spcFirstLastPara="1" vertOverflow="ellipsis" vert="horz" wrap="square" anchor="ctr" anchorCtr="1"/>
        <a:lstStyle/>
        <a:p>
          <a:pPr>
            <a:defRPr lang="zh-CN" sz="11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2309</Words>
  <Characters>13166</Characters>
  <Lines>109</Lines>
  <Paragraphs>30</Paragraphs>
  <TotalTime>1</TotalTime>
  <ScaleCrop>false</ScaleCrop>
  <LinksUpToDate>false</LinksUpToDate>
  <CharactersWithSpaces>15445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2019-12-08T06:58:00Z</dcterms:created>
  <dc:creator>lenovo</dc:creator>
  <cp:lastModifiedBy>lee</cp:lastModifiedBy>
  <dcterms:modified xsi:type="dcterms:W3CDTF">2021-03-12T07:19:33Z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7CA2E421D7044EF3B3943B5AFE08DB2A</vt:lpwstr>
  </property>
</Properties>
</file>