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cs="仿宋"/>
          <w:sz w:val="32"/>
          <w:szCs w:val="32"/>
        </w:rPr>
      </w:pPr>
    </w:p>
    <w:p>
      <w:pPr>
        <w:jc w:val="center"/>
        <w:rPr>
          <w:rFonts w:ascii="黑体" w:hAnsi="黑体" w:eastAsia="黑体" w:cs="黑体"/>
          <w:sz w:val="48"/>
          <w:szCs w:val="48"/>
        </w:rPr>
      </w:pPr>
    </w:p>
    <w:p>
      <w:pPr>
        <w:jc w:val="center"/>
        <w:rPr>
          <w:rFonts w:ascii="黑体" w:hAnsi="黑体" w:eastAsia="黑体" w:cs="黑体"/>
          <w:sz w:val="48"/>
          <w:szCs w:val="48"/>
        </w:rPr>
      </w:pPr>
      <w:r>
        <w:rPr>
          <w:rFonts w:ascii="宋体" w:hAnsi="宋体"/>
          <w:color w:val="0000FF"/>
          <w:sz w:val="24"/>
          <w:u w:val="single"/>
        </w:rPr>
        <w:pict>
          <v:roundrect id="自选图形 1340" o:spid="_x0000_s1072" o:spt="2" style="position:absolute;left:0pt;margin-left:36pt;margin-top:-24.5pt;height:112.7pt;width:367.05pt;z-index:251661312;mso-width-relative:page;mso-height-relative:page;" coordsize="21600,21600" arcsize="0.166666666666667">
            <v:path/>
            <v:fill focussize="0,0"/>
            <v:stroke/>
            <v:imagedata o:title=""/>
            <o:lock v:ext="edit"/>
            <v:textbox>
              <w:txbxContent>
                <w:p>
                  <w:pPr>
                    <w:spacing w:line="360" w:lineRule="auto"/>
                    <w:ind w:firstLine="482"/>
                    <w:rPr>
                      <w:sz w:val="24"/>
                    </w:rPr>
                  </w:pPr>
                  <w:r>
                    <w:rPr>
                      <w:rFonts w:hint="eastAsia"/>
                      <w:sz w:val="24"/>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w:r>
    </w:p>
    <w:p>
      <w:pPr>
        <w:jc w:val="center"/>
        <w:rPr>
          <w:rFonts w:ascii="黑体" w:hAnsi="黑体" w:eastAsia="黑体" w:cs="黑体"/>
          <w:sz w:val="48"/>
          <w:szCs w:val="48"/>
        </w:rPr>
      </w:pPr>
    </w:p>
    <w:p>
      <w:pPr>
        <w:jc w:val="center"/>
        <w:rPr>
          <w:rFonts w:ascii="黑体" w:hAnsi="黑体" w:eastAsia="黑体" w:cs="黑体"/>
          <w:sz w:val="48"/>
          <w:szCs w:val="48"/>
        </w:rPr>
      </w:pPr>
    </w:p>
    <w:p>
      <w:pPr>
        <w:rPr>
          <w:rFonts w:ascii="黑体" w:hAnsi="黑体" w:eastAsia="黑体" w:cs="黑体"/>
          <w:sz w:val="48"/>
          <w:szCs w:val="48"/>
        </w:rPr>
      </w:pPr>
    </w:p>
    <w:p>
      <w:pPr>
        <w:jc w:val="center"/>
        <w:rPr>
          <w:rFonts w:ascii="黑体" w:hAnsi="宋体" w:eastAsia="黑体"/>
          <w:b/>
          <w:bCs/>
          <w:shadow/>
          <w:sz w:val="52"/>
          <w:szCs w:val="52"/>
        </w:rPr>
      </w:pPr>
    </w:p>
    <w:p>
      <w:pPr>
        <w:jc w:val="center"/>
        <w:rPr>
          <w:rFonts w:hint="eastAsia" w:ascii="黑体" w:hAnsi="宋体" w:eastAsia="黑体"/>
          <w:b/>
          <w:bCs/>
          <w:shadow/>
          <w:sz w:val="52"/>
          <w:szCs w:val="52"/>
          <w:lang w:eastAsia="zh-CN"/>
        </w:rPr>
      </w:pPr>
      <w:r>
        <w:rPr>
          <w:rFonts w:hint="eastAsia" w:ascii="黑体" w:hAnsi="宋体" w:eastAsia="黑体"/>
          <w:b/>
          <w:bCs/>
          <w:shadow/>
          <w:sz w:val="52"/>
          <w:szCs w:val="52"/>
          <w:lang w:eastAsia="zh-CN"/>
        </w:rPr>
        <w:t>淄博锦茂运输股份有限公司</w:t>
      </w:r>
    </w:p>
    <w:p>
      <w:pPr>
        <w:jc w:val="center"/>
        <w:rPr>
          <w:rFonts w:hint="eastAsia" w:ascii="黑体" w:hAnsi="宋体" w:eastAsia="黑体"/>
          <w:b/>
          <w:bCs/>
          <w:shadow/>
          <w:sz w:val="52"/>
          <w:szCs w:val="52"/>
          <w:lang w:eastAsia="zh-CN"/>
        </w:rPr>
      </w:pPr>
      <w:r>
        <w:rPr>
          <w:rFonts w:hint="eastAsia" w:ascii="黑体" w:hAnsi="宋体" w:eastAsia="黑体"/>
          <w:b/>
          <w:bCs/>
          <w:shadow/>
          <w:sz w:val="52"/>
          <w:szCs w:val="52"/>
        </w:rPr>
        <w:t>股票挂牌转让说明书</w:t>
      </w:r>
      <w:r>
        <w:rPr>
          <w:rFonts w:hint="eastAsia" w:ascii="黑体" w:hAnsi="宋体" w:eastAsia="黑体"/>
          <w:b/>
          <w:bCs/>
          <w:shadow/>
          <w:sz w:val="52"/>
          <w:szCs w:val="52"/>
          <w:lang w:eastAsia="zh-CN"/>
        </w:rPr>
        <w:t>摘要</w:t>
      </w:r>
    </w:p>
    <w:p>
      <w:pPr>
        <w:jc w:val="center"/>
        <w:rPr>
          <w:rFonts w:ascii="仿宋" w:hAnsi="仿宋" w:cs="仿宋"/>
          <w:sz w:val="32"/>
          <w:szCs w:val="32"/>
        </w:rPr>
      </w:pPr>
      <w:r>
        <w:rPr>
          <w:rFonts w:hint="eastAsia" w:ascii="黑体" w:hAnsi="宋体" w:eastAsia="黑体"/>
          <w:b/>
          <w:bCs/>
          <w:shadow/>
          <w:sz w:val="52"/>
          <w:szCs w:val="52"/>
        </w:rPr>
        <w:t>（申请板块：</w:t>
      </w:r>
      <w:r>
        <w:rPr>
          <w:rFonts w:hint="eastAsia" w:ascii="黑体" w:hAnsi="宋体" w:eastAsia="黑体"/>
          <w:b/>
          <w:bCs/>
          <w:shadow/>
          <w:sz w:val="52"/>
          <w:szCs w:val="52"/>
          <w:lang w:eastAsia="zh-CN"/>
        </w:rPr>
        <w:t>成长</w:t>
      </w:r>
      <w:r>
        <w:rPr>
          <w:rFonts w:hint="eastAsia" w:ascii="黑体" w:hAnsi="宋体" w:eastAsia="黑体"/>
          <w:b/>
          <w:bCs/>
          <w:shadow/>
          <w:sz w:val="52"/>
          <w:szCs w:val="52"/>
        </w:rPr>
        <w:t>板）</w:t>
      </w:r>
    </w:p>
    <w:p>
      <w:pPr>
        <w:ind w:firstLine="640" w:firstLineChars="200"/>
        <w:jc w:val="center"/>
        <w:rPr>
          <w:rFonts w:ascii="仿宋" w:hAnsi="仿宋" w:cs="仿宋"/>
          <w:sz w:val="32"/>
          <w:szCs w:val="32"/>
        </w:rPr>
      </w:pPr>
    </w:p>
    <w:p>
      <w:pPr>
        <w:jc w:val="center"/>
        <w:rPr>
          <w:rFonts w:ascii="仿宋" w:hAnsi="仿宋" w:cs="仿宋"/>
          <w:b/>
          <w:bCs/>
          <w:sz w:val="48"/>
          <w:szCs w:val="48"/>
        </w:rPr>
      </w:pPr>
    </w:p>
    <w:p>
      <w:pPr>
        <w:jc w:val="center"/>
        <w:rPr>
          <w:rFonts w:ascii="仿宋" w:hAnsi="仿宋" w:cs="仿宋"/>
          <w:b/>
          <w:bCs/>
          <w:sz w:val="48"/>
          <w:szCs w:val="48"/>
        </w:rPr>
      </w:pPr>
    </w:p>
    <w:p>
      <w:pPr>
        <w:jc w:val="center"/>
        <w:rPr>
          <w:rFonts w:ascii="仿宋" w:hAnsi="仿宋" w:cs="仿宋"/>
          <w:b/>
          <w:bCs/>
          <w:sz w:val="48"/>
          <w:szCs w:val="48"/>
        </w:rPr>
      </w:pPr>
    </w:p>
    <w:p>
      <w:pPr>
        <w:rPr>
          <w:rFonts w:ascii="仿宋" w:hAnsi="仿宋" w:cs="仿宋"/>
          <w:b/>
          <w:bCs/>
          <w:sz w:val="48"/>
          <w:szCs w:val="48"/>
        </w:rPr>
      </w:pPr>
    </w:p>
    <w:p>
      <w:pPr>
        <w:spacing w:line="360" w:lineRule="auto"/>
        <w:ind w:firstLine="723"/>
        <w:rPr>
          <w:rFonts w:hint="eastAsia" w:ascii="宋体" w:hAnsi="宋体" w:eastAsia="仿宋"/>
          <w:b/>
          <w:sz w:val="36"/>
          <w:szCs w:val="36"/>
          <w:lang w:eastAsia="zh-CN"/>
        </w:rPr>
      </w:pPr>
      <w:r>
        <w:rPr>
          <w:rFonts w:hint="eastAsia" w:ascii="宋体" w:hAnsi="宋体"/>
          <w:b/>
          <w:sz w:val="36"/>
          <w:szCs w:val="36"/>
        </w:rPr>
        <w:t>挂牌公司：</w:t>
      </w:r>
      <w:r>
        <w:rPr>
          <w:rFonts w:hint="eastAsia" w:ascii="宋体" w:hAnsi="宋体"/>
          <w:b/>
          <w:sz w:val="36"/>
          <w:szCs w:val="36"/>
          <w:lang w:eastAsia="zh-CN"/>
        </w:rPr>
        <w:t>淄博锦茂运输股份有限公司</w:t>
      </w:r>
    </w:p>
    <w:p>
      <w:pPr>
        <w:spacing w:line="360" w:lineRule="auto"/>
        <w:ind w:firstLine="723"/>
        <w:rPr>
          <w:rFonts w:hint="eastAsia" w:ascii="宋体" w:hAnsi="宋体" w:eastAsia="仿宋"/>
          <w:b/>
          <w:sz w:val="36"/>
          <w:szCs w:val="36"/>
          <w:lang w:eastAsia="zh-CN"/>
        </w:rPr>
      </w:pPr>
      <w:r>
        <w:rPr>
          <w:rFonts w:hint="eastAsia" w:ascii="宋体" w:hAnsi="宋体"/>
          <w:b/>
          <w:sz w:val="36"/>
          <w:szCs w:val="36"/>
        </w:rPr>
        <w:t>推荐机构：</w:t>
      </w:r>
      <w:r>
        <w:rPr>
          <w:rFonts w:hint="eastAsia" w:ascii="宋体" w:hAnsi="宋体"/>
          <w:b/>
          <w:sz w:val="36"/>
          <w:szCs w:val="36"/>
          <w:lang w:eastAsia="zh-CN"/>
        </w:rPr>
        <w:t>山东君瑞资本管理有限公司</w:t>
      </w:r>
    </w:p>
    <w:p>
      <w:pPr>
        <w:spacing w:line="360" w:lineRule="auto"/>
        <w:ind w:firstLine="723"/>
        <w:rPr>
          <w:rFonts w:ascii="宋体" w:hAnsi="宋体"/>
          <w:b/>
          <w:sz w:val="36"/>
          <w:szCs w:val="36"/>
        </w:rPr>
      </w:pPr>
      <w:r>
        <w:rPr>
          <w:rFonts w:hint="eastAsia" w:ascii="宋体" w:hAnsi="宋体"/>
          <w:b/>
          <w:sz w:val="36"/>
          <w:szCs w:val="36"/>
        </w:rPr>
        <w:t>日    期： 202</w:t>
      </w:r>
      <w:r>
        <w:rPr>
          <w:rFonts w:hint="eastAsia" w:ascii="宋体" w:hAnsi="宋体"/>
          <w:b/>
          <w:sz w:val="36"/>
          <w:szCs w:val="36"/>
          <w:lang w:val="en-US" w:eastAsia="zh-CN"/>
        </w:rPr>
        <w:t>1</w:t>
      </w:r>
      <w:r>
        <w:rPr>
          <w:rFonts w:hint="eastAsia" w:ascii="宋体" w:hAnsi="宋体"/>
          <w:b/>
          <w:sz w:val="36"/>
          <w:szCs w:val="36"/>
        </w:rPr>
        <w:t>年</w:t>
      </w:r>
      <w:r>
        <w:rPr>
          <w:rFonts w:hint="eastAsia" w:ascii="宋体" w:hAnsi="宋体"/>
          <w:b/>
          <w:sz w:val="36"/>
          <w:szCs w:val="36"/>
          <w:lang w:val="en-US" w:eastAsia="zh-CN"/>
        </w:rPr>
        <w:t>8</w:t>
      </w:r>
      <w:r>
        <w:rPr>
          <w:rFonts w:hint="eastAsia" w:ascii="宋体" w:hAnsi="宋体"/>
          <w:b/>
          <w:sz w:val="36"/>
          <w:szCs w:val="36"/>
        </w:rPr>
        <w:t>月</w:t>
      </w:r>
      <w:r>
        <w:rPr>
          <w:rFonts w:hint="eastAsia" w:ascii="宋体" w:hAnsi="宋体"/>
          <w:b/>
          <w:sz w:val="36"/>
          <w:szCs w:val="36"/>
          <w:lang w:val="en-US" w:eastAsia="zh-CN"/>
        </w:rPr>
        <w:t>20</w:t>
      </w:r>
      <w:r>
        <w:rPr>
          <w:rFonts w:hint="eastAsia" w:ascii="宋体" w:hAnsi="宋体"/>
          <w:b/>
          <w:sz w:val="36"/>
          <w:szCs w:val="36"/>
        </w:rPr>
        <w:t>日</w:t>
      </w:r>
    </w:p>
    <w:p>
      <w:pPr>
        <w:rPr>
          <w:rFonts w:ascii="仿宋" w:hAnsi="仿宋" w:cs="仿宋"/>
          <w:b/>
          <w:bCs/>
          <w:sz w:val="48"/>
          <w:szCs w:val="48"/>
        </w:rPr>
      </w:pPr>
    </w:p>
    <w:p>
      <w:pPr>
        <w:pStyle w:val="20"/>
      </w:pPr>
    </w:p>
    <w:p>
      <w:pPr>
        <w:jc w:val="center"/>
        <w:rPr>
          <w:rFonts w:hint="eastAsia" w:ascii="仿宋" w:hAnsi="仿宋" w:cs="仿宋"/>
          <w:b/>
          <w:bCs/>
          <w:sz w:val="48"/>
          <w:szCs w:val="48"/>
        </w:rPr>
      </w:pPr>
    </w:p>
    <w:p>
      <w:pPr>
        <w:jc w:val="center"/>
        <w:rPr>
          <w:rFonts w:hint="eastAsia" w:ascii="仿宋" w:hAnsi="仿宋" w:cs="仿宋"/>
          <w:b/>
          <w:bCs/>
          <w:sz w:val="48"/>
          <w:szCs w:val="48"/>
        </w:rPr>
      </w:pPr>
    </w:p>
    <w:p>
      <w:pPr>
        <w:jc w:val="center"/>
        <w:rPr>
          <w:rFonts w:ascii="仿宋" w:hAnsi="仿宋" w:cs="仿宋"/>
          <w:b/>
          <w:bCs/>
          <w:sz w:val="32"/>
          <w:szCs w:val="32"/>
        </w:rPr>
      </w:pPr>
      <w:r>
        <w:rPr>
          <w:rFonts w:hint="eastAsia" w:ascii="仿宋" w:hAnsi="仿宋" w:cs="仿宋"/>
          <w:b/>
          <w:bCs/>
          <w:sz w:val="48"/>
          <w:szCs w:val="48"/>
        </w:rPr>
        <w:t>声 明</w:t>
      </w:r>
    </w:p>
    <w:p>
      <w:pPr>
        <w:jc w:val="center"/>
        <w:rPr>
          <w:rFonts w:ascii="仿宋" w:hAnsi="仿宋" w:cs="仿宋"/>
          <w:sz w:val="32"/>
          <w:szCs w:val="32"/>
        </w:rPr>
      </w:pPr>
    </w:p>
    <w:p>
      <w:pPr>
        <w:ind w:firstLine="640" w:firstLineChars="200"/>
        <w:rPr>
          <w:rFonts w:ascii="仿宋" w:hAnsi="仿宋" w:cs="仿宋"/>
          <w:sz w:val="32"/>
          <w:szCs w:val="32"/>
        </w:rPr>
      </w:pPr>
      <w:r>
        <w:rPr>
          <w:rFonts w:hint="eastAsia" w:ascii="仿宋" w:hAnsi="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cs="仿宋"/>
          <w:sz w:val="32"/>
          <w:szCs w:val="32"/>
        </w:rPr>
      </w:pPr>
      <w:r>
        <w:rPr>
          <w:rFonts w:hint="eastAsia" w:ascii="仿宋" w:hAnsi="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cs="仿宋"/>
          <w:sz w:val="32"/>
          <w:szCs w:val="32"/>
        </w:rPr>
      </w:pPr>
      <w:r>
        <w:rPr>
          <w:rFonts w:hint="eastAsia" w:ascii="仿宋" w:hAnsi="仿宋" w:cs="仿宋"/>
          <w:sz w:val="32"/>
          <w:szCs w:val="32"/>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p>
      <w:pPr>
        <w:ind w:firstLine="640" w:firstLineChars="200"/>
        <w:rPr>
          <w:rFonts w:ascii="仿宋" w:hAnsi="仿宋" w:cs="仿宋"/>
          <w:sz w:val="32"/>
          <w:szCs w:val="32"/>
        </w:rPr>
      </w:pPr>
    </w:p>
    <w:sdt>
      <w:sdtPr>
        <w:rPr>
          <w:rFonts w:ascii="宋体" w:hAnsi="宋体"/>
        </w:rPr>
        <w:id w:val="147480984"/>
        <w:docPartObj>
          <w:docPartGallery w:val="Table of Contents"/>
          <w:docPartUnique/>
        </w:docPartObj>
      </w:sdtPr>
      <w:sdtEndPr>
        <w:rPr>
          <w:rFonts w:hint="eastAsia" w:ascii="仿宋" w:hAnsi="仿宋" w:cs="仿宋"/>
          <w:b/>
          <w:szCs w:val="32"/>
        </w:rPr>
      </w:sdtEndPr>
      <w:sdtContent>
        <w:p>
          <w:pPr>
            <w:jc w:val="center"/>
            <w:rPr>
              <w:rFonts w:ascii="宋体" w:hAnsi="宋体"/>
            </w:rPr>
          </w:pPr>
        </w:p>
        <w:p>
          <w:pPr>
            <w:jc w:val="center"/>
            <w:rPr>
              <w:rFonts w:ascii="宋体" w:hAnsi="宋体" w:eastAsia="宋体"/>
              <w:b/>
              <w:bCs/>
              <w:sz w:val="44"/>
              <w:szCs w:val="44"/>
            </w:rPr>
          </w:pPr>
          <w:r>
            <w:rPr>
              <w:rFonts w:ascii="宋体" w:hAnsi="宋体" w:eastAsia="宋体"/>
              <w:b/>
              <w:bCs/>
              <w:sz w:val="44"/>
              <w:szCs w:val="44"/>
            </w:rPr>
            <w:t>目</w:t>
          </w:r>
          <w:r>
            <w:rPr>
              <w:rFonts w:hint="eastAsia" w:ascii="宋体" w:hAnsi="宋体" w:eastAsia="宋体"/>
              <w:b/>
              <w:bCs/>
              <w:sz w:val="44"/>
              <w:szCs w:val="44"/>
            </w:rPr>
            <w:t xml:space="preserve">   </w:t>
          </w:r>
          <w:r>
            <w:rPr>
              <w:rFonts w:ascii="宋体" w:hAnsi="宋体" w:eastAsia="宋体"/>
              <w:b/>
              <w:bCs/>
              <w:sz w:val="44"/>
              <w:szCs w:val="44"/>
            </w:rPr>
            <w:t>录</w:t>
          </w:r>
        </w:p>
        <w:p>
          <w:pPr>
            <w:jc w:val="center"/>
            <w:rPr>
              <w:rFonts w:ascii="宋体" w:hAnsi="宋体" w:eastAsia="宋体"/>
              <w:b/>
              <w:bCs/>
              <w:sz w:val="44"/>
              <w:szCs w:val="44"/>
            </w:rPr>
          </w:pPr>
        </w:p>
        <w:p>
          <w:pPr>
            <w:pStyle w:val="16"/>
            <w:tabs>
              <w:tab w:val="right" w:leader="dot" w:pos="8306"/>
            </w:tabs>
          </w:pPr>
          <w:r>
            <w:rPr>
              <w:rFonts w:hint="eastAsia" w:ascii="仿宋" w:hAnsi="仿宋" w:cs="仿宋"/>
              <w:szCs w:val="28"/>
            </w:rPr>
            <w:fldChar w:fldCharType="begin"/>
          </w:r>
          <w:r>
            <w:rPr>
              <w:rFonts w:hint="eastAsia" w:ascii="仿宋" w:hAnsi="仿宋" w:cs="仿宋"/>
              <w:szCs w:val="28"/>
            </w:rPr>
            <w:instrText xml:space="preserve">TOC \o "1-2" \h \u </w:instrText>
          </w:r>
          <w:r>
            <w:rPr>
              <w:rFonts w:hint="eastAsia" w:ascii="仿宋" w:hAnsi="仿宋" w:cs="仿宋"/>
              <w:szCs w:val="28"/>
            </w:rPr>
            <w:fldChar w:fldCharType="separate"/>
          </w:r>
          <w:r>
            <w:rPr>
              <w:rFonts w:hint="eastAsia" w:ascii="仿宋" w:hAnsi="仿宋" w:cs="仿宋"/>
              <w:szCs w:val="28"/>
            </w:rPr>
            <w:fldChar w:fldCharType="begin"/>
          </w:r>
          <w:r>
            <w:rPr>
              <w:rFonts w:hint="eastAsia" w:ascii="仿宋" w:hAnsi="仿宋" w:cs="仿宋"/>
              <w:szCs w:val="28"/>
            </w:rPr>
            <w:instrText xml:space="preserve"> HYPERLINK \l _Toc17594 </w:instrText>
          </w:r>
          <w:r>
            <w:rPr>
              <w:rFonts w:hint="eastAsia" w:ascii="仿宋" w:hAnsi="仿宋" w:cs="仿宋"/>
              <w:szCs w:val="28"/>
            </w:rPr>
            <w:fldChar w:fldCharType="separate"/>
          </w:r>
          <w:r>
            <w:rPr>
              <w:rFonts w:hint="eastAsia"/>
            </w:rPr>
            <w:t>释  义</w:t>
          </w:r>
          <w:r>
            <w:tab/>
          </w:r>
          <w:r>
            <w:fldChar w:fldCharType="begin"/>
          </w:r>
          <w:r>
            <w:instrText xml:space="preserve"> PAGEREF _Toc17594 \h </w:instrText>
          </w:r>
          <w:r>
            <w:fldChar w:fldCharType="separate"/>
          </w:r>
          <w:r>
            <w:t>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_Toc29460 </w:instrText>
          </w:r>
          <w:r>
            <w:rPr>
              <w:rFonts w:hint="eastAsia" w:ascii="仿宋" w:hAnsi="仿宋" w:cs="仿宋"/>
              <w:szCs w:val="28"/>
            </w:rPr>
            <w:fldChar w:fldCharType="separate"/>
          </w:r>
          <w:r>
            <w:rPr>
              <w:rFonts w:hint="eastAsia" w:ascii="仿宋" w:hAnsi="仿宋" w:cs="仿宋"/>
            </w:rPr>
            <w:t>一、一般词汇</w:t>
          </w:r>
          <w:r>
            <w:tab/>
          </w:r>
          <w:r>
            <w:fldChar w:fldCharType="begin"/>
          </w:r>
          <w:r>
            <w:instrText xml:space="preserve"> PAGEREF _Toc29460 \h </w:instrText>
          </w:r>
          <w:r>
            <w:fldChar w:fldCharType="separate"/>
          </w:r>
          <w:r>
            <w:t>4</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_Toc8499 </w:instrText>
          </w:r>
          <w:r>
            <w:rPr>
              <w:rFonts w:hint="eastAsia" w:ascii="仿宋" w:hAnsi="仿宋" w:cs="仿宋"/>
              <w:szCs w:val="28"/>
            </w:rPr>
            <w:fldChar w:fldCharType="separate"/>
          </w:r>
          <w:r>
            <w:rPr>
              <w:rFonts w:hint="eastAsia" w:ascii="仿宋" w:hAnsi="仿宋" w:cs="仿宋"/>
            </w:rPr>
            <w:t>二、专业词汇</w:t>
          </w:r>
          <w:r>
            <w:tab/>
          </w:r>
          <w:r>
            <w:fldChar w:fldCharType="begin"/>
          </w:r>
          <w:r>
            <w:instrText xml:space="preserve"> PAGEREF _Toc8499 \h </w:instrText>
          </w:r>
          <w:r>
            <w:fldChar w:fldCharType="separate"/>
          </w:r>
          <w:r>
            <w:t>5</w:t>
          </w:r>
          <w:r>
            <w:fldChar w:fldCharType="end"/>
          </w:r>
          <w:r>
            <w:rPr>
              <w:rFonts w:hint="eastAsia" w:ascii="仿宋" w:hAnsi="仿宋" w:cs="仿宋"/>
              <w:szCs w:val="28"/>
            </w:rPr>
            <w:fldChar w:fldCharType="end"/>
          </w:r>
        </w:p>
        <w:p>
          <w:pPr>
            <w:pStyle w:val="16"/>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_Toc6336 </w:instrText>
          </w:r>
          <w:r>
            <w:rPr>
              <w:rFonts w:hint="eastAsia" w:ascii="仿宋" w:hAnsi="仿宋" w:cs="仿宋"/>
              <w:szCs w:val="28"/>
            </w:rPr>
            <w:fldChar w:fldCharType="separate"/>
          </w:r>
          <w:r>
            <w:rPr>
              <w:rFonts w:hint="eastAsia" w:ascii="仿宋" w:hAnsi="仿宋" w:cs="仿宋"/>
              <w:szCs w:val="32"/>
            </w:rPr>
            <w:t>第一章 重大风险及重大事项提示</w:t>
          </w:r>
          <w:r>
            <w:tab/>
          </w:r>
          <w:r>
            <w:fldChar w:fldCharType="begin"/>
          </w:r>
          <w:r>
            <w:instrText xml:space="preserve"> PAGEREF _Toc6336 \h </w:instrText>
          </w:r>
          <w:r>
            <w:fldChar w:fldCharType="separate"/>
          </w:r>
          <w:r>
            <w:t>6</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_Toc25612 </w:instrText>
          </w:r>
          <w:r>
            <w:rPr>
              <w:rFonts w:hint="eastAsia" w:ascii="仿宋" w:hAnsi="仿宋" w:cs="仿宋"/>
              <w:szCs w:val="28"/>
            </w:rPr>
            <w:fldChar w:fldCharType="separate"/>
          </w:r>
          <w:r>
            <w:rPr>
              <w:rFonts w:hint="eastAsia" w:ascii="仿宋" w:hAnsi="仿宋" w:cs="仿宋"/>
            </w:rPr>
            <w:t>一、重大风险提示及应对措施</w:t>
          </w:r>
          <w:r>
            <w:tab/>
          </w:r>
          <w:r>
            <w:fldChar w:fldCharType="begin"/>
          </w:r>
          <w:r>
            <w:instrText xml:space="preserve"> PAGEREF _Toc25612 \h </w:instrText>
          </w:r>
          <w:r>
            <w:fldChar w:fldCharType="separate"/>
          </w:r>
          <w:r>
            <w:t>6</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_Toc1347 </w:instrText>
          </w:r>
          <w:r>
            <w:rPr>
              <w:rFonts w:hint="eastAsia" w:ascii="仿宋" w:hAnsi="仿宋" w:cs="仿宋"/>
              <w:szCs w:val="28"/>
            </w:rPr>
            <w:fldChar w:fldCharType="separate"/>
          </w:r>
          <w:r>
            <w:rPr>
              <w:rFonts w:hint="eastAsia" w:ascii="宋体" w:hAnsi="宋体" w:eastAsia="宋体" w:cs="宋体"/>
            </w:rPr>
            <w:t>二、</w:t>
          </w:r>
          <w:r>
            <w:rPr>
              <w:rFonts w:hint="eastAsia" w:ascii="仿宋" w:hAnsi="仿宋" w:cs="仿宋"/>
            </w:rPr>
            <w:t>重大事项提示</w:t>
          </w:r>
          <w:r>
            <w:tab/>
          </w:r>
          <w:r>
            <w:fldChar w:fldCharType="begin"/>
          </w:r>
          <w:r>
            <w:instrText xml:space="preserve"> PAGEREF _Toc1347 \h </w:instrText>
          </w:r>
          <w:r>
            <w:fldChar w:fldCharType="separate"/>
          </w:r>
          <w:r>
            <w:t>9</w:t>
          </w:r>
          <w:r>
            <w:fldChar w:fldCharType="end"/>
          </w:r>
          <w:r>
            <w:rPr>
              <w:rFonts w:hint="eastAsia" w:ascii="仿宋" w:hAnsi="仿宋" w:cs="仿宋"/>
              <w:szCs w:val="28"/>
            </w:rPr>
            <w:fldChar w:fldCharType="end"/>
          </w:r>
        </w:p>
        <w:p>
          <w:pPr>
            <w:pStyle w:val="16"/>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_Toc3451 </w:instrText>
          </w:r>
          <w:r>
            <w:rPr>
              <w:rFonts w:hint="eastAsia" w:ascii="仿宋" w:hAnsi="仿宋" w:cs="仿宋"/>
              <w:szCs w:val="28"/>
            </w:rPr>
            <w:fldChar w:fldCharType="separate"/>
          </w:r>
          <w:r>
            <w:rPr>
              <w:rFonts w:hint="eastAsia" w:ascii="仿宋" w:hAnsi="仿宋" w:cs="仿宋"/>
              <w:szCs w:val="32"/>
            </w:rPr>
            <w:t>第二章 基本情况</w:t>
          </w:r>
          <w:r>
            <w:tab/>
          </w:r>
          <w:r>
            <w:fldChar w:fldCharType="begin"/>
          </w:r>
          <w:r>
            <w:instrText xml:space="preserve"> PAGEREF _Toc3451 \h </w:instrText>
          </w:r>
          <w:r>
            <w:fldChar w:fldCharType="separate"/>
          </w:r>
          <w:r>
            <w:t>11</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_Toc4524 </w:instrText>
          </w:r>
          <w:r>
            <w:rPr>
              <w:rFonts w:hint="eastAsia" w:ascii="仿宋" w:hAnsi="仿宋" w:cs="仿宋"/>
              <w:szCs w:val="28"/>
            </w:rPr>
            <w:fldChar w:fldCharType="separate"/>
          </w:r>
          <w:r>
            <w:rPr>
              <w:rFonts w:hint="eastAsia" w:ascii="仿宋" w:hAnsi="仿宋" w:cs="仿宋"/>
            </w:rPr>
            <w:t>一、公司基本情况</w:t>
          </w:r>
          <w:r>
            <w:tab/>
          </w:r>
          <w:r>
            <w:fldChar w:fldCharType="begin"/>
          </w:r>
          <w:r>
            <w:instrText xml:space="preserve"> PAGEREF _Toc4524 \h </w:instrText>
          </w:r>
          <w:r>
            <w:fldChar w:fldCharType="separate"/>
          </w:r>
          <w:r>
            <w:t>11</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_Toc19777 </w:instrText>
          </w:r>
          <w:r>
            <w:rPr>
              <w:rFonts w:hint="eastAsia" w:ascii="仿宋" w:hAnsi="仿宋" w:cs="仿宋"/>
              <w:szCs w:val="28"/>
            </w:rPr>
            <w:fldChar w:fldCharType="separate"/>
          </w:r>
          <w:r>
            <w:rPr>
              <w:rFonts w:hint="eastAsia" w:ascii="仿宋" w:hAnsi="仿宋" w:cs="仿宋"/>
              <w:lang w:eastAsia="zh-CN"/>
            </w:rPr>
            <w:t>二</w:t>
          </w:r>
          <w:r>
            <w:rPr>
              <w:rFonts w:hint="eastAsia" w:ascii="仿宋" w:hAnsi="仿宋" w:cs="仿宋"/>
            </w:rPr>
            <w:t>、公司目前股权结构</w:t>
          </w:r>
          <w:r>
            <w:rPr>
              <w:rFonts w:hint="eastAsia" w:ascii="仿宋" w:hAnsi="仿宋" w:cs="仿宋"/>
              <w:lang w:eastAsia="zh-CN"/>
            </w:rPr>
            <w:t>及</w:t>
          </w:r>
          <w:r>
            <w:rPr>
              <w:rFonts w:hint="eastAsia" w:ascii="仿宋" w:hAnsi="仿宋" w:cs="仿宋"/>
            </w:rPr>
            <w:t>股东情况</w:t>
          </w:r>
          <w:r>
            <w:tab/>
          </w:r>
          <w:r>
            <w:fldChar w:fldCharType="begin"/>
          </w:r>
          <w:r>
            <w:instrText xml:space="preserve"> PAGEREF _Toc19777 \h </w:instrText>
          </w:r>
          <w:r>
            <w:fldChar w:fldCharType="separate"/>
          </w:r>
          <w:r>
            <w:t>12</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_Toc9721 </w:instrText>
          </w:r>
          <w:r>
            <w:rPr>
              <w:rFonts w:hint="eastAsia" w:ascii="仿宋" w:hAnsi="仿宋" w:cs="仿宋"/>
              <w:szCs w:val="28"/>
            </w:rPr>
            <w:fldChar w:fldCharType="separate"/>
          </w:r>
          <w:r>
            <w:rPr>
              <w:rFonts w:hint="eastAsia" w:ascii="仿宋" w:hAnsi="仿宋" w:cs="仿宋"/>
              <w:lang w:eastAsia="zh-CN"/>
            </w:rPr>
            <w:t>三、</w:t>
          </w:r>
          <w:r>
            <w:rPr>
              <w:rFonts w:hint="eastAsia" w:ascii="仿宋" w:hAnsi="仿宋" w:cs="仿宋"/>
            </w:rPr>
            <w:t>公司组织结构</w:t>
          </w:r>
          <w:r>
            <w:tab/>
          </w:r>
          <w:r>
            <w:fldChar w:fldCharType="begin"/>
          </w:r>
          <w:r>
            <w:instrText xml:space="preserve"> PAGEREF _Toc9721 \h </w:instrText>
          </w:r>
          <w:r>
            <w:fldChar w:fldCharType="separate"/>
          </w:r>
          <w:r>
            <w:t>13</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_Toc3482 </w:instrText>
          </w:r>
          <w:r>
            <w:rPr>
              <w:rFonts w:hint="eastAsia" w:ascii="仿宋" w:hAnsi="仿宋" w:cs="仿宋"/>
              <w:szCs w:val="28"/>
            </w:rPr>
            <w:fldChar w:fldCharType="separate"/>
          </w:r>
          <w:r>
            <w:rPr>
              <w:rFonts w:hint="eastAsia" w:ascii="宋体" w:hAnsi="宋体" w:cs="宋体"/>
              <w:szCs w:val="30"/>
              <w:lang w:eastAsia="zh-CN"/>
            </w:rPr>
            <w:t>四、</w:t>
          </w:r>
          <w:r>
            <w:rPr>
              <w:rFonts w:hint="eastAsia" w:ascii="宋体" w:hAnsi="宋体" w:cs="宋体"/>
              <w:szCs w:val="30"/>
            </w:rPr>
            <w:t>公司</w:t>
          </w:r>
          <w:r>
            <w:rPr>
              <w:rFonts w:hint="eastAsia" w:ascii="宋体" w:hAnsi="宋体" w:cs="宋体"/>
              <w:szCs w:val="30"/>
              <w:lang w:eastAsia="zh-CN"/>
            </w:rPr>
            <w:t>主营业务情况</w:t>
          </w:r>
          <w:r>
            <w:tab/>
          </w:r>
          <w:r>
            <w:fldChar w:fldCharType="begin"/>
          </w:r>
          <w:r>
            <w:instrText xml:space="preserve"> PAGEREF _Toc3482 \h </w:instrText>
          </w:r>
          <w:r>
            <w:fldChar w:fldCharType="separate"/>
          </w:r>
          <w:r>
            <w:t>16</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_Toc1224 </w:instrText>
          </w:r>
          <w:r>
            <w:rPr>
              <w:rFonts w:hint="eastAsia" w:ascii="仿宋" w:hAnsi="仿宋" w:cs="仿宋"/>
              <w:szCs w:val="28"/>
            </w:rPr>
            <w:fldChar w:fldCharType="separate"/>
          </w:r>
          <w:r>
            <w:rPr>
              <w:rFonts w:hint="eastAsia"/>
              <w:lang w:eastAsia="zh-CN"/>
            </w:rPr>
            <w:t>五、</w:t>
          </w:r>
          <w:r>
            <w:rPr>
              <w:rFonts w:hint="eastAsia"/>
            </w:rPr>
            <w:t>公司财务</w:t>
          </w:r>
          <w:r>
            <w:rPr>
              <w:rFonts w:hint="eastAsia"/>
              <w:lang w:eastAsia="zh-CN"/>
            </w:rPr>
            <w:t>简</w:t>
          </w:r>
          <w:r>
            <w:rPr>
              <w:rFonts w:hint="eastAsia"/>
            </w:rPr>
            <w:t>报</w:t>
          </w:r>
          <w:r>
            <w:tab/>
          </w:r>
          <w:r>
            <w:fldChar w:fldCharType="begin"/>
          </w:r>
          <w:r>
            <w:instrText xml:space="preserve"> PAGEREF _Toc1224 \h </w:instrText>
          </w:r>
          <w:r>
            <w:fldChar w:fldCharType="separate"/>
          </w:r>
          <w:r>
            <w:t>17</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_Toc19129 </w:instrText>
          </w:r>
          <w:r>
            <w:rPr>
              <w:rFonts w:hint="eastAsia" w:ascii="仿宋" w:hAnsi="仿宋" w:cs="仿宋"/>
              <w:szCs w:val="28"/>
            </w:rPr>
            <w:fldChar w:fldCharType="separate"/>
          </w:r>
          <w:r>
            <w:rPr>
              <w:rFonts w:hint="eastAsia" w:ascii="仿宋" w:hAnsi="仿宋" w:cs="仿宋"/>
              <w:kern w:val="44"/>
              <w:lang w:eastAsia="zh-CN"/>
            </w:rPr>
            <w:t>六</w:t>
          </w:r>
          <w:r>
            <w:rPr>
              <w:rFonts w:hint="eastAsia" w:ascii="仿宋" w:hAnsi="仿宋" w:cs="仿宋"/>
              <w:kern w:val="44"/>
            </w:rPr>
            <w:t>、</w:t>
          </w:r>
          <w:r>
            <w:rPr>
              <w:rFonts w:hint="eastAsia" w:ascii="仿宋" w:hAnsi="仿宋" w:cs="仿宋"/>
              <w:kern w:val="44"/>
              <w:highlight w:val="none"/>
            </w:rPr>
            <w:t>公司经营目标和计划</w:t>
          </w:r>
          <w:r>
            <w:tab/>
          </w:r>
          <w:r>
            <w:fldChar w:fldCharType="begin"/>
          </w:r>
          <w:r>
            <w:instrText xml:space="preserve"> PAGEREF _Toc19129 \h </w:instrText>
          </w:r>
          <w:r>
            <w:fldChar w:fldCharType="separate"/>
          </w:r>
          <w:r>
            <w:t>18</w:t>
          </w:r>
          <w:r>
            <w:fldChar w:fldCharType="end"/>
          </w:r>
          <w:r>
            <w:rPr>
              <w:rFonts w:hint="eastAsia" w:ascii="仿宋" w:hAnsi="仿宋" w:cs="仿宋"/>
              <w:szCs w:val="28"/>
            </w:rPr>
            <w:fldChar w:fldCharType="end"/>
          </w:r>
        </w:p>
        <w:p>
          <w:pPr>
            <w:pStyle w:val="16"/>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_Toc5479 </w:instrText>
          </w:r>
          <w:r>
            <w:rPr>
              <w:rFonts w:hint="eastAsia" w:ascii="仿宋" w:hAnsi="仿宋" w:cs="仿宋"/>
              <w:szCs w:val="28"/>
            </w:rPr>
            <w:fldChar w:fldCharType="separate"/>
          </w:r>
          <w:r>
            <w:rPr>
              <w:rFonts w:hint="eastAsia" w:ascii="仿宋" w:hAnsi="仿宋" w:cs="仿宋"/>
              <w:szCs w:val="32"/>
            </w:rPr>
            <w:t xml:space="preserve">第三章 </w:t>
          </w:r>
          <w:r>
            <w:rPr>
              <w:rFonts w:hint="eastAsia" w:ascii="仿宋" w:hAnsi="仿宋" w:cs="仿宋"/>
              <w:szCs w:val="32"/>
              <w:lang w:eastAsia="zh-CN"/>
            </w:rPr>
            <w:t>本次挂牌的有关机构</w:t>
          </w:r>
          <w:r>
            <w:tab/>
          </w:r>
          <w:r>
            <w:fldChar w:fldCharType="begin"/>
          </w:r>
          <w:r>
            <w:instrText xml:space="preserve"> PAGEREF _Toc5479 \h </w:instrText>
          </w:r>
          <w:r>
            <w:fldChar w:fldCharType="separate"/>
          </w:r>
          <w:r>
            <w:t>21</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_Toc17166 </w:instrText>
          </w:r>
          <w:r>
            <w:rPr>
              <w:rFonts w:hint="eastAsia" w:ascii="仿宋" w:hAnsi="仿宋" w:cs="仿宋"/>
              <w:szCs w:val="28"/>
            </w:rPr>
            <w:fldChar w:fldCharType="separate"/>
          </w:r>
          <w:r>
            <w:rPr>
              <w:rFonts w:hint="eastAsia"/>
              <w:lang w:eastAsia="zh-CN"/>
            </w:rPr>
            <w:t>一、</w:t>
          </w:r>
          <w:r>
            <w:rPr>
              <w:rFonts w:hint="eastAsia"/>
            </w:rPr>
            <w:t>推荐机构</w:t>
          </w:r>
          <w:r>
            <w:tab/>
          </w:r>
          <w:r>
            <w:fldChar w:fldCharType="begin"/>
          </w:r>
          <w:r>
            <w:instrText xml:space="preserve"> PAGEREF _Toc17166 \h </w:instrText>
          </w:r>
          <w:r>
            <w:fldChar w:fldCharType="separate"/>
          </w:r>
          <w:r>
            <w:t>21</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_Toc10097 </w:instrText>
          </w:r>
          <w:r>
            <w:rPr>
              <w:rFonts w:hint="eastAsia" w:ascii="仿宋" w:hAnsi="仿宋" w:cs="仿宋"/>
              <w:szCs w:val="28"/>
            </w:rPr>
            <w:fldChar w:fldCharType="separate"/>
          </w:r>
          <w:r>
            <w:rPr>
              <w:rFonts w:hint="eastAsia"/>
              <w:lang w:eastAsia="zh-CN"/>
            </w:rPr>
            <w:t>二、</w:t>
          </w:r>
          <w:r>
            <w:rPr>
              <w:rFonts w:hint="eastAsia"/>
            </w:rPr>
            <w:t>审计机构</w:t>
          </w:r>
          <w:r>
            <w:tab/>
          </w:r>
          <w:r>
            <w:fldChar w:fldCharType="begin"/>
          </w:r>
          <w:r>
            <w:instrText xml:space="preserve"> PAGEREF _Toc10097 \h </w:instrText>
          </w:r>
          <w:r>
            <w:fldChar w:fldCharType="separate"/>
          </w:r>
          <w:r>
            <w:t>21</w:t>
          </w:r>
          <w:r>
            <w:fldChar w:fldCharType="end"/>
          </w:r>
          <w:r>
            <w:rPr>
              <w:rFonts w:hint="eastAsia" w:ascii="仿宋" w:hAnsi="仿宋" w:cs="仿宋"/>
              <w:szCs w:val="28"/>
            </w:rPr>
            <w:fldChar w:fldCharType="end"/>
          </w:r>
        </w:p>
        <w:p>
          <w:pPr>
            <w:pStyle w:val="17"/>
            <w:tabs>
              <w:tab w:val="right" w:leader="dot" w:pos="8306"/>
            </w:tabs>
          </w:pPr>
          <w:r>
            <w:rPr>
              <w:rFonts w:hint="eastAsia" w:ascii="仿宋" w:hAnsi="仿宋" w:cs="仿宋"/>
              <w:szCs w:val="28"/>
            </w:rPr>
            <w:fldChar w:fldCharType="begin"/>
          </w:r>
          <w:r>
            <w:rPr>
              <w:rFonts w:hint="eastAsia" w:ascii="仿宋" w:hAnsi="仿宋" w:cs="仿宋"/>
              <w:szCs w:val="28"/>
            </w:rPr>
            <w:instrText xml:space="preserve"> HYPERLINK \l _Toc12017 </w:instrText>
          </w:r>
          <w:r>
            <w:rPr>
              <w:rFonts w:hint="eastAsia" w:ascii="仿宋" w:hAnsi="仿宋" w:cs="仿宋"/>
              <w:szCs w:val="28"/>
            </w:rPr>
            <w:fldChar w:fldCharType="separate"/>
          </w:r>
          <w:r>
            <w:rPr>
              <w:rFonts w:hint="eastAsia"/>
              <w:lang w:eastAsia="zh-CN"/>
            </w:rPr>
            <w:t>三、</w:t>
          </w:r>
          <w:r>
            <w:rPr>
              <w:rFonts w:hint="eastAsia"/>
            </w:rPr>
            <w:t>股权登记托管机构</w:t>
          </w:r>
          <w:r>
            <w:tab/>
          </w:r>
          <w:r>
            <w:fldChar w:fldCharType="begin"/>
          </w:r>
          <w:r>
            <w:instrText xml:space="preserve"> PAGEREF _Toc12017 \h </w:instrText>
          </w:r>
          <w:r>
            <w:fldChar w:fldCharType="separate"/>
          </w:r>
          <w:r>
            <w:t>21</w:t>
          </w:r>
          <w:r>
            <w:fldChar w:fldCharType="end"/>
          </w:r>
          <w:r>
            <w:rPr>
              <w:rFonts w:hint="eastAsia" w:ascii="仿宋" w:hAnsi="仿宋" w:cs="仿宋"/>
              <w:szCs w:val="28"/>
            </w:rPr>
            <w:fldChar w:fldCharType="end"/>
          </w:r>
        </w:p>
        <w:p>
          <w:pPr>
            <w:spacing w:line="360" w:lineRule="auto"/>
            <w:rPr>
              <w:rFonts w:ascii="仿宋" w:hAnsi="仿宋" w:cs="仿宋"/>
              <w:sz w:val="32"/>
              <w:szCs w:val="32"/>
            </w:rPr>
          </w:pPr>
          <w:r>
            <w:rPr>
              <w:rFonts w:hint="eastAsia" w:ascii="仿宋" w:hAnsi="仿宋" w:cs="仿宋"/>
              <w:szCs w:val="28"/>
            </w:rPr>
            <w:fldChar w:fldCharType="end"/>
          </w:r>
        </w:p>
      </w:sdtContent>
    </w:sdt>
    <w:p>
      <w:pPr>
        <w:pStyle w:val="3"/>
        <w:jc w:val="center"/>
      </w:pPr>
      <w:bookmarkStart w:id="0" w:name="_Toc17594"/>
      <w:bookmarkStart w:id="1" w:name="_Toc347823151"/>
      <w:bookmarkStart w:id="2" w:name="_Toc245701649"/>
      <w:bookmarkStart w:id="3" w:name="_Toc346286099"/>
      <w:bookmarkStart w:id="4" w:name="_Toc517203283"/>
      <w:bookmarkStart w:id="5" w:name="_Toc342567463"/>
      <w:bookmarkStart w:id="6" w:name="_Toc346092685"/>
      <w:bookmarkStart w:id="7" w:name="_Toc317756535"/>
      <w:bookmarkStart w:id="8" w:name="_Toc347823901"/>
      <w:bookmarkStart w:id="9" w:name="_Toc347754966"/>
      <w:r>
        <w:rPr>
          <w:rFonts w:hint="eastAsia"/>
        </w:rPr>
        <w:t>释  义</w:t>
      </w:r>
      <w:bookmarkEnd w:id="0"/>
      <w:bookmarkEnd w:id="1"/>
      <w:bookmarkEnd w:id="2"/>
      <w:bookmarkEnd w:id="3"/>
      <w:bookmarkEnd w:id="4"/>
      <w:bookmarkEnd w:id="5"/>
      <w:bookmarkEnd w:id="6"/>
      <w:bookmarkEnd w:id="7"/>
      <w:bookmarkEnd w:id="8"/>
      <w:bookmarkEnd w:id="9"/>
    </w:p>
    <w:p>
      <w:pPr>
        <w:pStyle w:val="4"/>
        <w:ind w:firstLine="562"/>
        <w:rPr>
          <w:rFonts w:ascii="仿宋" w:hAnsi="仿宋" w:cs="仿宋"/>
        </w:rPr>
      </w:pPr>
      <w:bookmarkStart w:id="10" w:name="_Toc29460"/>
      <w:bookmarkStart w:id="11" w:name="_Toc499804269"/>
      <w:bookmarkStart w:id="12" w:name="_Toc517203284"/>
      <w:r>
        <w:rPr>
          <w:rFonts w:hint="eastAsia" w:ascii="仿宋" w:hAnsi="仿宋" w:cs="仿宋"/>
        </w:rPr>
        <w:t>一、一般词汇</w:t>
      </w:r>
      <w:bookmarkEnd w:id="10"/>
      <w:bookmarkEnd w:id="11"/>
      <w:bookmarkEnd w:id="12"/>
    </w:p>
    <w:p>
      <w:pPr>
        <w:tabs>
          <w:tab w:val="left" w:pos="6379"/>
        </w:tabs>
        <w:adjustRightInd w:val="0"/>
        <w:snapToGrid w:val="0"/>
        <w:spacing w:line="360" w:lineRule="auto"/>
        <w:ind w:firstLine="560" w:firstLineChars="200"/>
        <w:rPr>
          <w:rFonts w:ascii="仿宋" w:hAnsi="仿宋" w:cs="仿宋"/>
          <w:szCs w:val="28"/>
        </w:rPr>
      </w:pPr>
      <w:bookmarkStart w:id="13" w:name="_Toc248204861"/>
      <w:r>
        <w:rPr>
          <w:rFonts w:hint="eastAsia" w:ascii="仿宋" w:hAnsi="仿宋" w:cs="仿宋"/>
          <w:szCs w:val="28"/>
        </w:rPr>
        <w:t>在本次挂牌转让说明书中，除非另有说明，下列简称具有以下含义：</w:t>
      </w:r>
      <w:bookmarkEnd w:id="13"/>
    </w:p>
    <w:p>
      <w:pPr>
        <w:tabs>
          <w:tab w:val="left" w:pos="6379"/>
        </w:tabs>
        <w:adjustRightInd w:val="0"/>
        <w:snapToGrid w:val="0"/>
        <w:spacing w:line="360" w:lineRule="auto"/>
        <w:ind w:firstLine="560" w:firstLineChars="200"/>
        <w:rPr>
          <w:rFonts w:ascii="仿宋" w:hAnsi="仿宋" w:cs="仿宋"/>
          <w:szCs w:val="28"/>
        </w:rPr>
      </w:pPr>
    </w:p>
    <w:tbl>
      <w:tblPr>
        <w:tblStyle w:val="21"/>
        <w:tblW w:w="9210"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46"/>
        <w:gridCol w:w="683"/>
        <w:gridCol w:w="508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5" w:hRule="exact"/>
          <w:jc w:val="center"/>
        </w:trPr>
        <w:tc>
          <w:tcPr>
            <w:tcW w:w="3446" w:type="dxa"/>
            <w:vMerge w:val="restart"/>
            <w:noWrap/>
            <w:vAlign w:val="center"/>
          </w:tcPr>
          <w:p>
            <w:pPr>
              <w:widowControl/>
              <w:adjustRightInd w:val="0"/>
              <w:snapToGrid w:val="0"/>
              <w:spacing w:line="440" w:lineRule="atLeast"/>
              <w:jc w:val="lef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有限公司</w:t>
            </w:r>
          </w:p>
        </w:tc>
        <w:tc>
          <w:tcPr>
            <w:tcW w:w="683" w:type="dxa"/>
            <w:vMerge w:val="restart"/>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vMerge w:val="restart"/>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rPr>
              <w:t>均指</w:t>
            </w:r>
            <w:r>
              <w:rPr>
                <w:rFonts w:hint="eastAsia" w:ascii="仿宋" w:hAnsi="仿宋" w:cs="仿宋"/>
                <w:color w:val="000000"/>
                <w:kern w:val="0"/>
                <w:szCs w:val="28"/>
                <w:lang w:eastAsia="zh-CN"/>
              </w:rPr>
              <w:t>淄博锦茂运输有限公司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3446" w:type="dxa"/>
            <w:vMerge w:val="continue"/>
            <w:noWrap/>
            <w:vAlign w:val="center"/>
          </w:tcPr>
          <w:p>
            <w:pPr>
              <w:widowControl/>
              <w:adjustRightInd w:val="0"/>
              <w:snapToGrid w:val="0"/>
              <w:spacing w:line="440" w:lineRule="atLeast"/>
              <w:ind w:firstLine="560" w:firstLineChars="200"/>
              <w:jc w:val="left"/>
              <w:rPr>
                <w:rFonts w:ascii="仿宋" w:hAnsi="仿宋" w:cs="仿宋"/>
                <w:color w:val="000000"/>
                <w:kern w:val="0"/>
                <w:szCs w:val="28"/>
              </w:rPr>
            </w:pPr>
          </w:p>
        </w:tc>
        <w:tc>
          <w:tcPr>
            <w:tcW w:w="683" w:type="dxa"/>
            <w:vMerge w:val="continue"/>
            <w:noWrap/>
            <w:vAlign w:val="center"/>
          </w:tcPr>
          <w:p>
            <w:pPr>
              <w:widowControl/>
              <w:adjustRightInd w:val="0"/>
              <w:snapToGrid w:val="0"/>
              <w:spacing w:line="440" w:lineRule="atLeast"/>
              <w:ind w:firstLine="560" w:firstLineChars="200"/>
              <w:jc w:val="right"/>
              <w:rPr>
                <w:rFonts w:ascii="仿宋" w:hAnsi="仿宋" w:cs="仿宋"/>
                <w:color w:val="000000"/>
                <w:kern w:val="0"/>
                <w:szCs w:val="28"/>
              </w:rPr>
            </w:pPr>
          </w:p>
        </w:tc>
        <w:tc>
          <w:tcPr>
            <w:tcW w:w="5081" w:type="dxa"/>
            <w:vMerge w:val="continue"/>
            <w:noWrap/>
            <w:vAlign w:val="center"/>
          </w:tcPr>
          <w:p>
            <w:pPr>
              <w:widowControl/>
              <w:adjustRightInd w:val="0"/>
              <w:snapToGrid w:val="0"/>
              <w:spacing w:line="440" w:lineRule="atLeast"/>
              <w:ind w:firstLine="560" w:firstLineChars="200"/>
              <w:rPr>
                <w:rFonts w:ascii="仿宋" w:hAnsi="仿宋" w:cs="仿宋"/>
                <w:color w:val="000000"/>
                <w:kern w:val="0"/>
                <w:szCs w:val="2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3446" w:type="dxa"/>
            <w:noWrap/>
            <w:vAlign w:val="center"/>
          </w:tcPr>
          <w:p>
            <w:pPr>
              <w:widowControl/>
              <w:adjustRightInd w:val="0"/>
              <w:snapToGrid w:val="0"/>
              <w:spacing w:line="440" w:lineRule="atLeast"/>
              <w:jc w:val="left"/>
              <w:rPr>
                <w:rFonts w:ascii="仿宋" w:hAnsi="仿宋" w:eastAsia="仿宋" w:cs="仿宋"/>
                <w:color w:val="000000"/>
                <w:kern w:val="0"/>
                <w:sz w:val="28"/>
                <w:szCs w:val="28"/>
                <w:lang w:val="en-US" w:eastAsia="zh-CN" w:bidi="ar-SA"/>
              </w:rPr>
            </w:pPr>
            <w:r>
              <w:rPr>
                <w:rFonts w:hint="eastAsia" w:ascii="仿宋" w:hAnsi="仿宋" w:cs="仿宋"/>
                <w:color w:val="000000"/>
                <w:kern w:val="0"/>
                <w:szCs w:val="28"/>
                <w:lang w:eastAsia="zh-CN"/>
              </w:rPr>
              <w:t>本</w:t>
            </w:r>
            <w:r>
              <w:rPr>
                <w:rFonts w:hint="eastAsia" w:ascii="仿宋" w:hAnsi="仿宋" w:cs="仿宋"/>
                <w:color w:val="000000"/>
                <w:kern w:val="0"/>
                <w:szCs w:val="28"/>
              </w:rPr>
              <w:t>公司、申请人</w:t>
            </w:r>
          </w:p>
        </w:tc>
        <w:tc>
          <w:tcPr>
            <w:tcW w:w="683" w:type="dxa"/>
            <w:noWrap/>
            <w:vAlign w:val="center"/>
          </w:tcPr>
          <w:p>
            <w:pPr>
              <w:widowControl/>
              <w:wordWrap w:val="0"/>
              <w:adjustRightInd w:val="0"/>
              <w:snapToGrid w:val="0"/>
              <w:spacing w:line="440" w:lineRule="atLeast"/>
              <w:ind w:right="240" w:rightChars="0"/>
              <w:jc w:val="right"/>
              <w:rPr>
                <w:rFonts w:ascii="仿宋" w:hAnsi="仿宋" w:eastAsia="仿宋" w:cs="仿宋"/>
                <w:color w:val="000000"/>
                <w:kern w:val="0"/>
                <w:sz w:val="28"/>
                <w:szCs w:val="28"/>
                <w:lang w:val="en-US" w:eastAsia="zh-CN" w:bidi="ar-SA"/>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 w:val="28"/>
                <w:szCs w:val="28"/>
                <w:lang w:val="en-US" w:eastAsia="zh-CN" w:bidi="ar-SA"/>
              </w:rPr>
            </w:pPr>
            <w:r>
              <w:rPr>
                <w:rFonts w:hint="eastAsia" w:ascii="仿宋" w:hAnsi="仿宋" w:cs="仿宋"/>
                <w:color w:val="000000"/>
                <w:kern w:val="0"/>
                <w:szCs w:val="28"/>
              </w:rPr>
              <w:t>均</w:t>
            </w:r>
            <w:r>
              <w:rPr>
                <w:rFonts w:hint="eastAsia" w:ascii="仿宋" w:hAnsi="仿宋" w:cs="仿宋"/>
                <w:color w:val="000000"/>
                <w:kern w:val="0"/>
                <w:szCs w:val="28"/>
                <w:highlight w:val="none"/>
              </w:rPr>
              <w:t>指</w:t>
            </w:r>
            <w:r>
              <w:rPr>
                <w:rFonts w:hint="eastAsia" w:ascii="仿宋" w:hAnsi="仿宋" w:cs="仿宋"/>
                <w:color w:val="000000"/>
                <w:kern w:val="0"/>
                <w:szCs w:val="28"/>
                <w:highlight w:val="none"/>
                <w:shd w:val="clear"/>
                <w:lang w:eastAsia="zh-CN"/>
              </w:rPr>
              <w:t>淄博锦茂运输股份有限公司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实际控制人</w:t>
            </w:r>
          </w:p>
        </w:tc>
        <w:tc>
          <w:tcPr>
            <w:tcW w:w="683" w:type="dxa"/>
            <w:noWrap/>
            <w:vAlign w:val="center"/>
          </w:tcPr>
          <w:p>
            <w:pPr>
              <w:widowControl/>
              <w:adjustRightInd w:val="0"/>
              <w:snapToGrid w:val="0"/>
              <w:spacing w:line="440" w:lineRule="atLeast"/>
              <w:ind w:right="360"/>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淄博锦茂运输股份有限公司</w:t>
            </w:r>
            <w:r>
              <w:rPr>
                <w:rFonts w:hint="eastAsia" w:ascii="仿宋" w:hAnsi="仿宋" w:cs="仿宋"/>
                <w:color w:val="000000"/>
                <w:kern w:val="0"/>
                <w:szCs w:val="28"/>
              </w:rPr>
              <w:t>实际控制人</w:t>
            </w:r>
            <w:r>
              <w:rPr>
                <w:rFonts w:hint="eastAsia" w:ascii="仿宋" w:hAnsi="仿宋" w:cs="仿宋"/>
                <w:color w:val="000000"/>
                <w:kern w:val="0"/>
                <w:szCs w:val="28"/>
                <w:lang w:eastAsia="zh-CN"/>
              </w:rPr>
              <w:t>张涛</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控股股东</w:t>
            </w:r>
          </w:p>
        </w:tc>
        <w:tc>
          <w:tcPr>
            <w:tcW w:w="683" w:type="dxa"/>
            <w:noWrap/>
            <w:vAlign w:val="center"/>
          </w:tcPr>
          <w:p>
            <w:pPr>
              <w:widowControl/>
              <w:adjustRightInd w:val="0"/>
              <w:snapToGrid w:val="0"/>
              <w:spacing w:line="440" w:lineRule="atLeast"/>
              <w:ind w:right="480"/>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淄博锦茂运输股份有限公司</w:t>
            </w:r>
            <w:r>
              <w:rPr>
                <w:rFonts w:hint="eastAsia" w:ascii="仿宋" w:hAnsi="仿宋" w:cs="仿宋"/>
                <w:color w:val="000000"/>
                <w:kern w:val="0"/>
                <w:szCs w:val="28"/>
              </w:rPr>
              <w:t>控股股东</w:t>
            </w:r>
            <w:r>
              <w:rPr>
                <w:rFonts w:hint="eastAsia" w:ascii="仿宋" w:hAnsi="仿宋" w:cs="仿宋"/>
                <w:color w:val="000000"/>
                <w:kern w:val="0"/>
                <w:szCs w:val="28"/>
                <w:lang w:eastAsia="zh-CN"/>
              </w:rPr>
              <w:t>张涛</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董事</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rPr>
                <w:rFonts w:ascii="仿宋" w:hAnsi="仿宋" w:cs="仿宋"/>
                <w:color w:val="000000"/>
                <w:kern w:val="0"/>
                <w:szCs w:val="28"/>
              </w:rPr>
            </w:pPr>
            <w:r>
              <w:rPr>
                <w:rFonts w:hint="eastAsia" w:ascii="仿宋" w:hAnsi="仿宋" w:cs="仿宋"/>
                <w:color w:val="000000"/>
                <w:kern w:val="0"/>
                <w:szCs w:val="28"/>
                <w:lang w:eastAsia="zh-CN"/>
              </w:rPr>
              <w:t>淄博锦茂运输股份有限公司</w:t>
            </w:r>
            <w:r>
              <w:rPr>
                <w:rFonts w:hint="eastAsia" w:ascii="仿宋" w:hAnsi="仿宋" w:cs="仿宋"/>
                <w:color w:val="000000"/>
                <w:kern w:val="0"/>
                <w:szCs w:val="28"/>
              </w:rPr>
              <w:t>董事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监事</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rPr>
                <w:rFonts w:ascii="仿宋" w:hAnsi="仿宋" w:cs="仿宋"/>
                <w:color w:val="000000"/>
                <w:kern w:val="0"/>
                <w:szCs w:val="28"/>
              </w:rPr>
            </w:pPr>
            <w:r>
              <w:rPr>
                <w:rFonts w:hint="eastAsia" w:ascii="仿宋" w:hAnsi="仿宋" w:cs="仿宋"/>
                <w:color w:val="000000"/>
                <w:kern w:val="0"/>
                <w:szCs w:val="28"/>
                <w:lang w:eastAsia="zh-CN"/>
              </w:rPr>
              <w:t>淄博锦茂运输股份有限公司</w:t>
            </w:r>
            <w:r>
              <w:rPr>
                <w:rFonts w:hint="eastAsia" w:ascii="仿宋" w:hAnsi="仿宋" w:cs="仿宋"/>
                <w:color w:val="000000"/>
                <w:kern w:val="0"/>
                <w:szCs w:val="28"/>
              </w:rPr>
              <w:t>监事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20"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齐鲁股交中心</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ascii="仿宋" w:hAnsi="仿宋" w:cs="仿宋"/>
                <w:color w:val="000000"/>
                <w:kern w:val="0"/>
                <w:szCs w:val="28"/>
              </w:rPr>
            </w:pPr>
            <w:r>
              <w:rPr>
                <w:rFonts w:hint="eastAsia" w:ascii="仿宋" w:hAnsi="仿宋" w:cs="仿宋"/>
                <w:color w:val="000000"/>
                <w:kern w:val="0"/>
                <w:szCs w:val="28"/>
              </w:rPr>
              <w:t>齐鲁股权交易中心有限公司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35"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《公司法》</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ascii="仿宋" w:hAnsi="仿宋" w:cs="仿宋"/>
                <w:color w:val="000000"/>
                <w:kern w:val="0"/>
                <w:szCs w:val="28"/>
              </w:rPr>
            </w:pPr>
            <w:r>
              <w:rPr>
                <w:rFonts w:hint="eastAsia" w:ascii="仿宋" w:hAnsi="仿宋" w:cs="仿宋"/>
                <w:color w:val="000000"/>
                <w:kern w:val="0"/>
                <w:szCs w:val="28"/>
              </w:rPr>
              <w:t>《中华人民共和国公司法》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90"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《证券法》</w:t>
            </w:r>
          </w:p>
        </w:tc>
        <w:tc>
          <w:tcPr>
            <w:tcW w:w="683" w:type="dxa"/>
            <w:noWrap/>
            <w:vAlign w:val="center"/>
          </w:tcPr>
          <w:p>
            <w:pPr>
              <w:spacing w:line="360" w:lineRule="auto"/>
              <w:ind w:left="-266" w:leftChars="-95"/>
              <w:jc w:val="center"/>
              <w:rPr>
                <w:rFonts w:ascii="仿宋" w:hAnsi="仿宋" w:cs="仿宋"/>
                <w:szCs w:val="28"/>
              </w:rPr>
            </w:pPr>
            <w:r>
              <w:rPr>
                <w:rFonts w:hint="eastAsia" w:ascii="仿宋" w:hAnsi="仿宋" w:cs="仿宋"/>
                <w:szCs w:val="28"/>
              </w:rPr>
              <w:t>指</w:t>
            </w:r>
          </w:p>
        </w:tc>
        <w:tc>
          <w:tcPr>
            <w:tcW w:w="5081" w:type="dxa"/>
            <w:noWrap/>
            <w:vAlign w:val="center"/>
          </w:tcPr>
          <w:p>
            <w:pPr>
              <w:widowControl/>
              <w:adjustRightInd w:val="0"/>
              <w:snapToGrid w:val="0"/>
              <w:spacing w:line="440" w:lineRule="atLeast"/>
              <w:rPr>
                <w:rFonts w:ascii="仿宋" w:hAnsi="仿宋" w:cs="仿宋"/>
                <w:color w:val="000000"/>
                <w:kern w:val="0"/>
                <w:szCs w:val="28"/>
              </w:rPr>
            </w:pPr>
            <w:r>
              <w:rPr>
                <w:rFonts w:hint="eastAsia" w:ascii="仿宋" w:hAnsi="仿宋" w:cs="仿宋"/>
                <w:color w:val="000000"/>
                <w:kern w:val="0"/>
                <w:szCs w:val="28"/>
              </w:rPr>
              <w:t>《中华人民共和国证券法》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95"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推荐机构</w:t>
            </w:r>
          </w:p>
        </w:tc>
        <w:tc>
          <w:tcPr>
            <w:tcW w:w="683" w:type="dxa"/>
            <w:noWrap/>
            <w:vAlign w:val="center"/>
          </w:tcPr>
          <w:p>
            <w:pPr>
              <w:spacing w:line="360" w:lineRule="auto"/>
              <w:ind w:left="-266" w:leftChars="-95"/>
              <w:jc w:val="center"/>
              <w:rPr>
                <w:rFonts w:ascii="仿宋" w:hAnsi="仿宋" w:cs="仿宋"/>
                <w:szCs w:val="28"/>
              </w:rPr>
            </w:pPr>
            <w:r>
              <w:rPr>
                <w:rFonts w:hint="eastAsia" w:ascii="仿宋" w:hAnsi="仿宋" w:cs="仿宋"/>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000000"/>
                <w:kern w:val="0"/>
                <w:szCs w:val="28"/>
                <w:lang w:eastAsia="zh-CN"/>
              </w:rPr>
            </w:pPr>
            <w:r>
              <w:rPr>
                <w:rFonts w:hint="eastAsia" w:ascii="仿宋" w:hAnsi="仿宋" w:cs="仿宋"/>
                <w:color w:val="000000"/>
                <w:kern w:val="0"/>
                <w:szCs w:val="28"/>
                <w:lang w:eastAsia="zh-CN"/>
              </w:rPr>
              <w:t>山东君瑞资本管理有限公司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0"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审计机构</w:t>
            </w:r>
          </w:p>
        </w:tc>
        <w:tc>
          <w:tcPr>
            <w:tcW w:w="683" w:type="dxa"/>
            <w:noWrap/>
            <w:vAlign w:val="center"/>
          </w:tcPr>
          <w:p>
            <w:pPr>
              <w:widowControl/>
              <w:wordWrap w:val="0"/>
              <w:adjustRightInd w:val="0"/>
              <w:snapToGrid w:val="0"/>
              <w:spacing w:line="440" w:lineRule="atLeast"/>
              <w:ind w:right="240"/>
              <w:jc w:val="right"/>
              <w:rPr>
                <w:rFonts w:ascii="仿宋" w:hAnsi="仿宋" w:cs="仿宋"/>
                <w:color w:val="000000"/>
                <w:kern w:val="0"/>
                <w:szCs w:val="28"/>
              </w:rPr>
            </w:pPr>
            <w:r>
              <w:rPr>
                <w:rFonts w:hint="eastAsia" w:ascii="仿宋" w:hAnsi="仿宋" w:cs="仿宋"/>
                <w:color w:val="000000"/>
                <w:kern w:val="0"/>
                <w:szCs w:val="28"/>
              </w:rPr>
              <w:t>指</w:t>
            </w:r>
          </w:p>
        </w:tc>
        <w:tc>
          <w:tcPr>
            <w:tcW w:w="5081" w:type="dxa"/>
            <w:noWrap/>
            <w:vAlign w:val="center"/>
          </w:tcPr>
          <w:p>
            <w:pPr>
              <w:widowControl/>
              <w:adjustRightInd w:val="0"/>
              <w:snapToGrid w:val="0"/>
              <w:spacing w:line="440" w:lineRule="atLeast"/>
              <w:rPr>
                <w:rFonts w:hint="eastAsia" w:ascii="仿宋" w:hAnsi="仿宋" w:eastAsia="仿宋" w:cs="仿宋"/>
                <w:color w:val="FF0000"/>
                <w:kern w:val="0"/>
                <w:szCs w:val="28"/>
                <w:lang w:eastAsia="zh-CN"/>
              </w:rPr>
            </w:pPr>
            <w:r>
              <w:rPr>
                <w:rFonts w:hint="eastAsia" w:ascii="仿宋" w:hAnsi="仿宋" w:cs="仿宋"/>
                <w:szCs w:val="28"/>
                <w:highlight w:val="none"/>
                <w:lang w:eastAsia="zh-CN"/>
              </w:rPr>
              <w:t>山东九方会计师事务所有限公司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95" w:hRule="exact"/>
          <w:jc w:val="center"/>
        </w:trPr>
        <w:tc>
          <w:tcPr>
            <w:tcW w:w="3446" w:type="dxa"/>
            <w:noWrap/>
            <w:vAlign w:val="center"/>
          </w:tcPr>
          <w:p>
            <w:pPr>
              <w:widowControl/>
              <w:adjustRightInd w:val="0"/>
              <w:snapToGrid w:val="0"/>
              <w:spacing w:line="440" w:lineRule="atLeast"/>
              <w:jc w:val="left"/>
              <w:rPr>
                <w:rFonts w:ascii="仿宋" w:hAnsi="仿宋" w:cs="仿宋"/>
                <w:color w:val="000000"/>
                <w:kern w:val="0"/>
                <w:szCs w:val="28"/>
              </w:rPr>
            </w:pPr>
            <w:r>
              <w:rPr>
                <w:rFonts w:hint="eastAsia" w:ascii="仿宋" w:hAnsi="仿宋" w:cs="仿宋"/>
                <w:color w:val="000000"/>
                <w:kern w:val="0"/>
                <w:szCs w:val="28"/>
              </w:rPr>
              <w:t>报告期</w:t>
            </w:r>
          </w:p>
        </w:tc>
        <w:tc>
          <w:tcPr>
            <w:tcW w:w="683" w:type="dxa"/>
            <w:noWrap/>
            <w:vAlign w:val="center"/>
          </w:tcPr>
          <w:p>
            <w:pPr>
              <w:tabs>
                <w:tab w:val="left" w:pos="213"/>
              </w:tabs>
              <w:spacing w:line="360" w:lineRule="auto"/>
              <w:rPr>
                <w:rFonts w:ascii="仿宋" w:hAnsi="仿宋" w:cs="仿宋"/>
                <w:szCs w:val="28"/>
              </w:rPr>
            </w:pPr>
            <w:r>
              <w:rPr>
                <w:rFonts w:hint="eastAsia" w:ascii="仿宋" w:hAnsi="仿宋" w:cs="仿宋"/>
                <w:szCs w:val="28"/>
              </w:rPr>
              <w:t>指</w:t>
            </w:r>
          </w:p>
        </w:tc>
        <w:tc>
          <w:tcPr>
            <w:tcW w:w="5081" w:type="dxa"/>
            <w:noWrap/>
            <w:vAlign w:val="center"/>
          </w:tcPr>
          <w:p>
            <w:pPr>
              <w:spacing w:line="360" w:lineRule="auto"/>
              <w:rPr>
                <w:rFonts w:hint="default" w:ascii="仿宋" w:hAnsi="仿宋" w:eastAsia="仿宋" w:cs="仿宋"/>
                <w:szCs w:val="28"/>
                <w:lang w:val="en-US" w:eastAsia="zh-CN"/>
              </w:rPr>
            </w:pPr>
            <w:r>
              <w:rPr>
                <w:rFonts w:hint="eastAsia" w:ascii="仿宋" w:hAnsi="仿宋" w:cs="仿宋"/>
                <w:szCs w:val="28"/>
              </w:rPr>
              <w:t>20</w:t>
            </w:r>
            <w:r>
              <w:rPr>
                <w:rFonts w:hint="eastAsia" w:ascii="仿宋" w:hAnsi="仿宋" w:cs="仿宋"/>
                <w:szCs w:val="28"/>
                <w:lang w:val="en-US" w:eastAsia="zh-CN"/>
              </w:rPr>
              <w:t>20</w:t>
            </w:r>
            <w:r>
              <w:rPr>
                <w:rFonts w:hint="eastAsia" w:ascii="仿宋" w:hAnsi="仿宋" w:cs="仿宋"/>
                <w:szCs w:val="28"/>
              </w:rPr>
              <w:t>年度</w:t>
            </w:r>
            <w:r>
              <w:rPr>
                <w:rFonts w:hint="eastAsia" w:ascii="仿宋" w:hAnsi="仿宋" w:cs="仿宋"/>
                <w:szCs w:val="28"/>
                <w:highlight w:val="none"/>
              </w:rPr>
              <w:t>、202</w:t>
            </w:r>
            <w:r>
              <w:rPr>
                <w:rFonts w:hint="eastAsia" w:ascii="仿宋" w:hAnsi="仿宋" w:cs="仿宋"/>
                <w:szCs w:val="28"/>
                <w:highlight w:val="none"/>
                <w:lang w:val="en-US" w:eastAsia="zh-CN"/>
              </w:rPr>
              <w:t>1</w:t>
            </w:r>
            <w:r>
              <w:rPr>
                <w:rFonts w:hint="eastAsia" w:ascii="仿宋" w:hAnsi="仿宋" w:cs="仿宋"/>
                <w:szCs w:val="28"/>
                <w:highlight w:val="none"/>
              </w:rPr>
              <w:t>年</w:t>
            </w:r>
            <w:r>
              <w:rPr>
                <w:rFonts w:hint="eastAsia" w:ascii="仿宋" w:hAnsi="仿宋" w:cs="仿宋"/>
                <w:szCs w:val="28"/>
                <w:highlight w:val="none"/>
                <w:lang w:val="en-US" w:eastAsia="zh-CN"/>
              </w:rPr>
              <w:t>1-7月</w:t>
            </w:r>
          </w:p>
        </w:tc>
      </w:tr>
    </w:tbl>
    <w:p>
      <w:pPr>
        <w:pStyle w:val="4"/>
        <w:ind w:firstLine="643"/>
        <w:rPr>
          <w:rFonts w:hint="eastAsia" w:ascii="仿宋" w:hAnsi="仿宋" w:cs="仿宋"/>
          <w:sz w:val="32"/>
        </w:rPr>
      </w:pPr>
    </w:p>
    <w:p>
      <w:pPr>
        <w:pStyle w:val="4"/>
        <w:ind w:firstLine="643"/>
        <w:rPr>
          <w:rFonts w:hint="eastAsia" w:ascii="仿宋" w:hAnsi="仿宋" w:cs="仿宋"/>
          <w:sz w:val="32"/>
        </w:rPr>
      </w:pPr>
    </w:p>
    <w:p>
      <w:pPr>
        <w:pStyle w:val="4"/>
        <w:ind w:firstLine="643"/>
        <w:rPr>
          <w:rFonts w:ascii="宋体" w:hAnsi="宋体" w:eastAsia="宋体" w:cs="宋体"/>
          <w:sz w:val="24"/>
          <w:szCs w:val="24"/>
        </w:rPr>
      </w:pPr>
      <w:bookmarkStart w:id="14" w:name="_Toc8499"/>
      <w:r>
        <w:rPr>
          <w:rFonts w:hint="eastAsia" w:ascii="仿宋" w:hAnsi="仿宋" w:cs="仿宋"/>
          <w:sz w:val="32"/>
        </w:rPr>
        <w:t>二、专业词汇</w:t>
      </w:r>
      <w:bookmarkEnd w:id="14"/>
    </w:p>
    <w:tbl>
      <w:tblPr>
        <w:tblStyle w:val="21"/>
        <w:tblW w:w="9281" w:type="dxa"/>
        <w:jc w:val="center"/>
        <w:tblLayout w:type="fixed"/>
        <w:tblCellMar>
          <w:top w:w="0" w:type="dxa"/>
          <w:left w:w="108" w:type="dxa"/>
          <w:bottom w:w="0" w:type="dxa"/>
          <w:right w:w="108" w:type="dxa"/>
        </w:tblCellMar>
      </w:tblPr>
      <w:tblGrid>
        <w:gridCol w:w="2144"/>
        <w:gridCol w:w="900"/>
        <w:gridCol w:w="6237"/>
      </w:tblGrid>
      <w:tr>
        <w:tblPrEx>
          <w:tblCellMar>
            <w:top w:w="0" w:type="dxa"/>
            <w:left w:w="108" w:type="dxa"/>
            <w:bottom w:w="0" w:type="dxa"/>
            <w:right w:w="108" w:type="dxa"/>
          </w:tblCellMar>
        </w:tblPrEx>
        <w:trPr>
          <w:trHeight w:val="2132" w:hRule="atLeast"/>
          <w:jc w:val="center"/>
        </w:trPr>
        <w:tc>
          <w:tcPr>
            <w:tcW w:w="2144" w:type="dxa"/>
            <w:tcBorders>
              <w:top w:val="double" w:color="auto" w:sz="6" w:space="0"/>
              <w:left w:val="double" w:color="auto" w:sz="6" w:space="0"/>
              <w:bottom w:val="single" w:color="000000" w:sz="4" w:space="0"/>
              <w:right w:val="double" w:color="000000" w:sz="6" w:space="0"/>
            </w:tcBorders>
            <w:noWrap/>
            <w:vAlign w:val="center"/>
          </w:tcPr>
          <w:p>
            <w:pPr>
              <w:widowControl/>
              <w:jc w:val="center"/>
              <w:rPr>
                <w:rFonts w:hint="eastAsia" w:ascii="仿宋" w:hAnsi="仿宋" w:eastAsia="仿宋" w:cs="仿宋"/>
                <w:color w:val="000000"/>
                <w:kern w:val="0"/>
                <w:sz w:val="28"/>
                <w:szCs w:val="28"/>
                <w:lang w:eastAsia="zh-CN"/>
              </w:rPr>
            </w:pPr>
            <w:r>
              <w:rPr>
                <w:rFonts w:hint="eastAsia" w:ascii="仿宋" w:hAnsi="仿宋" w:cs="仿宋"/>
                <w:color w:val="000000"/>
                <w:kern w:val="0"/>
                <w:sz w:val="28"/>
                <w:szCs w:val="28"/>
                <w:lang w:eastAsia="zh-CN"/>
              </w:rPr>
              <w:t>普通货运</w:t>
            </w:r>
          </w:p>
        </w:tc>
        <w:tc>
          <w:tcPr>
            <w:tcW w:w="900" w:type="dxa"/>
            <w:tcBorders>
              <w:top w:val="double" w:color="auto" w:sz="6" w:space="0"/>
              <w:left w:val="double" w:color="000000" w:sz="6" w:space="0"/>
              <w:bottom w:val="single" w:color="000000" w:sz="4" w:space="0"/>
              <w:right w:val="double" w:color="000000" w:sz="6" w:space="0"/>
            </w:tcBorders>
            <w:noWrap/>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指</w:t>
            </w:r>
          </w:p>
        </w:tc>
        <w:tc>
          <w:tcPr>
            <w:tcW w:w="6237" w:type="dxa"/>
            <w:tcBorders>
              <w:top w:val="double" w:color="auto" w:sz="6" w:space="0"/>
              <w:left w:val="double" w:color="000000" w:sz="6" w:space="0"/>
              <w:bottom w:val="single" w:color="000000" w:sz="4" w:space="0"/>
              <w:right w:val="double" w:color="auto" w:sz="6"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kern w:val="0"/>
                <w:sz w:val="28"/>
                <w:szCs w:val="28"/>
              </w:rPr>
            </w:pPr>
            <w:r>
              <w:rPr>
                <w:rFonts w:hint="eastAsia" w:ascii="仿宋" w:hAnsi="仿宋" w:cs="仿宋"/>
                <w:color w:val="000000"/>
                <w:kern w:val="0"/>
                <w:sz w:val="28"/>
                <w:szCs w:val="28"/>
                <w:lang w:eastAsia="zh-CN"/>
              </w:rPr>
              <w:t>根据客户的要求将其货物转运至客户要求的地点，并依据货物数量及运输距离收取。</w:t>
            </w:r>
          </w:p>
        </w:tc>
      </w:tr>
      <w:tr>
        <w:tblPrEx>
          <w:tblCellMar>
            <w:top w:w="0" w:type="dxa"/>
            <w:left w:w="108" w:type="dxa"/>
            <w:bottom w:w="0" w:type="dxa"/>
            <w:right w:w="108" w:type="dxa"/>
          </w:tblCellMar>
        </w:tblPrEx>
        <w:trPr>
          <w:trHeight w:val="2132" w:hRule="atLeast"/>
          <w:jc w:val="center"/>
        </w:trPr>
        <w:tc>
          <w:tcPr>
            <w:tcW w:w="2144" w:type="dxa"/>
            <w:tcBorders>
              <w:top w:val="double" w:color="auto" w:sz="6" w:space="0"/>
              <w:left w:val="double" w:color="auto" w:sz="6" w:space="0"/>
              <w:bottom w:val="single" w:color="000000" w:sz="4" w:space="0"/>
              <w:right w:val="double" w:color="000000" w:sz="6" w:space="0"/>
            </w:tcBorders>
            <w:noWrap/>
            <w:vAlign w:val="center"/>
          </w:tcPr>
          <w:p>
            <w:pPr>
              <w:widowControl/>
              <w:jc w:val="center"/>
              <w:rPr>
                <w:rFonts w:hint="eastAsia" w:ascii="仿宋" w:hAnsi="仿宋" w:cs="仿宋"/>
                <w:color w:val="000000"/>
                <w:kern w:val="0"/>
                <w:sz w:val="28"/>
                <w:szCs w:val="28"/>
                <w:lang w:eastAsia="zh-CN"/>
              </w:rPr>
            </w:pPr>
            <w:r>
              <w:rPr>
                <w:rFonts w:hint="eastAsia" w:ascii="仿宋" w:hAnsi="仿宋" w:cs="仿宋"/>
                <w:color w:val="000000"/>
                <w:kern w:val="0"/>
                <w:sz w:val="28"/>
                <w:szCs w:val="28"/>
                <w:lang w:eastAsia="zh-CN"/>
              </w:rPr>
              <w:t>货物专用运输</w:t>
            </w:r>
          </w:p>
        </w:tc>
        <w:tc>
          <w:tcPr>
            <w:tcW w:w="900" w:type="dxa"/>
            <w:tcBorders>
              <w:top w:val="double" w:color="auto" w:sz="6" w:space="0"/>
              <w:left w:val="double" w:color="000000" w:sz="6" w:space="0"/>
              <w:bottom w:val="single" w:color="000000" w:sz="4" w:space="0"/>
              <w:right w:val="double" w:color="000000" w:sz="6" w:space="0"/>
            </w:tcBorders>
            <w:noWrap/>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指</w:t>
            </w:r>
          </w:p>
        </w:tc>
        <w:tc>
          <w:tcPr>
            <w:tcW w:w="6237" w:type="dxa"/>
            <w:tcBorders>
              <w:top w:val="double" w:color="auto" w:sz="6" w:space="0"/>
              <w:left w:val="double" w:color="000000" w:sz="6" w:space="0"/>
              <w:bottom w:val="single" w:color="000000" w:sz="4" w:space="0"/>
              <w:right w:val="double" w:color="auto" w:sz="6" w:space="0"/>
            </w:tcBorders>
            <w:noWrap/>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right="0" w:rightChars="0" w:firstLine="560" w:firstLineChars="200"/>
              <w:textAlignment w:val="auto"/>
              <w:rPr>
                <w:rFonts w:hint="eastAsia" w:ascii="仿宋" w:hAnsi="仿宋" w:cs="仿宋"/>
                <w:color w:val="000000"/>
                <w:kern w:val="0"/>
                <w:sz w:val="28"/>
                <w:szCs w:val="28"/>
                <w:lang w:eastAsia="zh-CN"/>
              </w:rPr>
            </w:pPr>
            <w:r>
              <w:rPr>
                <w:rFonts w:hint="eastAsia" w:ascii="仿宋" w:hAnsi="仿宋" w:eastAsia="仿宋" w:cs="仿宋"/>
                <w:color w:val="000000"/>
                <w:kern w:val="0"/>
                <w:sz w:val="28"/>
                <w:szCs w:val="28"/>
                <w:lang w:val="en-US" w:eastAsia="zh-CN" w:bidi="ar-SA"/>
              </w:rPr>
              <w:t>用集装箱、冷藏保鲜设备、罐式容器等专用车辆进行的货物运输。</w:t>
            </w:r>
          </w:p>
        </w:tc>
      </w:tr>
      <w:tr>
        <w:tblPrEx>
          <w:tblCellMar>
            <w:top w:w="0" w:type="dxa"/>
            <w:left w:w="108" w:type="dxa"/>
            <w:bottom w:w="0" w:type="dxa"/>
            <w:right w:w="108" w:type="dxa"/>
          </w:tblCellMar>
        </w:tblPrEx>
        <w:trPr>
          <w:trHeight w:val="3252" w:hRule="atLeast"/>
          <w:jc w:val="center"/>
        </w:trPr>
        <w:tc>
          <w:tcPr>
            <w:tcW w:w="2144" w:type="dxa"/>
            <w:tcBorders>
              <w:top w:val="double" w:color="auto" w:sz="6" w:space="0"/>
              <w:left w:val="double" w:color="auto" w:sz="6" w:space="0"/>
              <w:bottom w:val="double" w:color="auto" w:sz="6" w:space="0"/>
              <w:right w:val="double" w:color="000000" w:sz="6" w:space="0"/>
            </w:tcBorders>
            <w:noWrap/>
            <w:vAlign w:val="center"/>
          </w:tcPr>
          <w:p>
            <w:pPr>
              <w:widowControl/>
              <w:jc w:val="center"/>
              <w:rPr>
                <w:rFonts w:hint="eastAsia" w:ascii="仿宋" w:hAnsi="仿宋" w:eastAsia="仿宋" w:cs="仿宋"/>
                <w:color w:val="000000"/>
                <w:kern w:val="0"/>
                <w:sz w:val="28"/>
                <w:szCs w:val="28"/>
                <w:lang w:eastAsia="zh-CN"/>
              </w:rPr>
            </w:pPr>
            <w:r>
              <w:rPr>
                <w:rFonts w:hint="eastAsia" w:ascii="仿宋" w:hAnsi="仿宋" w:cs="仿宋"/>
                <w:color w:val="000000"/>
                <w:kern w:val="0"/>
                <w:sz w:val="28"/>
                <w:szCs w:val="28"/>
                <w:lang w:eastAsia="zh-CN"/>
              </w:rPr>
              <w:t>信息流</w:t>
            </w:r>
          </w:p>
        </w:tc>
        <w:tc>
          <w:tcPr>
            <w:tcW w:w="900" w:type="dxa"/>
            <w:tcBorders>
              <w:top w:val="double" w:color="auto" w:sz="6" w:space="0"/>
              <w:left w:val="double" w:color="000000" w:sz="6" w:space="0"/>
              <w:bottom w:val="double" w:color="auto" w:sz="6" w:space="0"/>
              <w:right w:val="double" w:color="000000" w:sz="6" w:space="0"/>
            </w:tcBorders>
            <w:noWrap/>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指</w:t>
            </w:r>
          </w:p>
        </w:tc>
        <w:tc>
          <w:tcPr>
            <w:tcW w:w="6237" w:type="dxa"/>
            <w:tcBorders>
              <w:top w:val="double" w:color="auto" w:sz="6" w:space="0"/>
              <w:left w:val="double" w:color="000000" w:sz="6" w:space="0"/>
              <w:bottom w:val="double" w:color="auto" w:sz="6" w:space="0"/>
              <w:right w:val="double" w:color="auto" w:sz="6" w:space="0"/>
            </w:tcBorders>
            <w:noWrap/>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right="0" w:firstLine="560" w:firstLineChars="200"/>
              <w:textAlignment w:val="auto"/>
              <w:rPr>
                <w:rFonts w:hint="eastAsia" w:ascii="仿宋" w:hAnsi="仿宋" w:eastAsia="仿宋" w:cs="仿宋"/>
                <w:color w:val="000000"/>
                <w:kern w:val="0"/>
                <w:sz w:val="28"/>
                <w:szCs w:val="28"/>
              </w:rPr>
            </w:pPr>
            <w:r>
              <w:rPr>
                <w:rFonts w:hint="eastAsia" w:ascii="宋体" w:hAnsi="宋体" w:eastAsia="仿宋" w:cs="Arial"/>
                <w:kern w:val="2"/>
                <w:sz w:val="28"/>
                <w:szCs w:val="24"/>
                <w:lang w:val="en-US" w:eastAsia="zh-CN" w:bidi="ar-SA"/>
              </w:rPr>
              <w:t>人们采用各种方式来实现信息交流，从面对面的直接交谈直到采用各种现代化的传递媒介，包括信息的收集、传递、处理、储存、检索、分析等渠道和过程。</w:t>
            </w:r>
          </w:p>
        </w:tc>
      </w:tr>
      <w:tr>
        <w:tblPrEx>
          <w:tblCellMar>
            <w:top w:w="0" w:type="dxa"/>
            <w:left w:w="108" w:type="dxa"/>
            <w:bottom w:w="0" w:type="dxa"/>
            <w:right w:w="108" w:type="dxa"/>
          </w:tblCellMar>
        </w:tblPrEx>
        <w:trPr>
          <w:trHeight w:val="2712" w:hRule="atLeast"/>
          <w:jc w:val="center"/>
        </w:trPr>
        <w:tc>
          <w:tcPr>
            <w:tcW w:w="2144" w:type="dxa"/>
            <w:tcBorders>
              <w:top w:val="double" w:color="auto" w:sz="6" w:space="0"/>
              <w:left w:val="double" w:color="auto" w:sz="6" w:space="0"/>
              <w:bottom w:val="double" w:color="auto" w:sz="6" w:space="0"/>
              <w:right w:val="double" w:color="000000" w:sz="6" w:space="0"/>
            </w:tcBorders>
            <w:noWrap/>
            <w:vAlign w:val="center"/>
          </w:tcPr>
          <w:p>
            <w:pPr>
              <w:widowControl/>
              <w:jc w:val="center"/>
              <w:rPr>
                <w:rFonts w:hint="default" w:ascii="仿宋" w:hAnsi="仿宋" w:cs="仿宋"/>
                <w:color w:val="000000"/>
                <w:kern w:val="0"/>
                <w:sz w:val="28"/>
                <w:szCs w:val="28"/>
                <w:lang w:val="en-US" w:eastAsia="zh-CN"/>
              </w:rPr>
            </w:pPr>
            <w:r>
              <w:rPr>
                <w:rFonts w:hint="eastAsia" w:ascii="仿宋" w:hAnsi="仿宋" w:cs="仿宋"/>
                <w:color w:val="000000"/>
                <w:kern w:val="0"/>
                <w:sz w:val="28"/>
                <w:szCs w:val="28"/>
                <w:lang w:val="en-US" w:eastAsia="zh-CN"/>
              </w:rPr>
              <w:t>GPS</w:t>
            </w:r>
          </w:p>
        </w:tc>
        <w:tc>
          <w:tcPr>
            <w:tcW w:w="900" w:type="dxa"/>
            <w:tcBorders>
              <w:top w:val="double" w:color="auto" w:sz="6" w:space="0"/>
              <w:left w:val="double" w:color="000000" w:sz="6" w:space="0"/>
              <w:bottom w:val="double" w:color="auto" w:sz="6" w:space="0"/>
              <w:right w:val="double" w:color="000000" w:sz="6" w:space="0"/>
            </w:tcBorders>
            <w:noWrap/>
            <w:vAlign w:val="center"/>
          </w:tcPr>
          <w:p>
            <w:pPr>
              <w:widowControl/>
              <w:jc w:val="center"/>
              <w:rPr>
                <w:rFonts w:hint="default" w:ascii="仿宋" w:hAnsi="仿宋" w:eastAsia="仿宋" w:cs="仿宋"/>
                <w:color w:val="000000"/>
                <w:kern w:val="0"/>
                <w:sz w:val="28"/>
                <w:szCs w:val="28"/>
                <w:lang w:val="en-US" w:eastAsia="zh-CN"/>
              </w:rPr>
            </w:pPr>
            <w:r>
              <w:rPr>
                <w:rFonts w:hint="eastAsia" w:ascii="仿宋" w:hAnsi="仿宋" w:cs="仿宋"/>
                <w:color w:val="000000"/>
                <w:kern w:val="0"/>
                <w:sz w:val="28"/>
                <w:szCs w:val="28"/>
                <w:lang w:val="en-US" w:eastAsia="zh-CN"/>
              </w:rPr>
              <w:t>指</w:t>
            </w:r>
          </w:p>
        </w:tc>
        <w:tc>
          <w:tcPr>
            <w:tcW w:w="6237" w:type="dxa"/>
            <w:tcBorders>
              <w:top w:val="double" w:color="auto" w:sz="6" w:space="0"/>
              <w:left w:val="double" w:color="000000" w:sz="6" w:space="0"/>
              <w:bottom w:val="double" w:color="auto" w:sz="6" w:space="0"/>
              <w:right w:val="double" w:color="auto" w:sz="6" w:space="0"/>
            </w:tcBorders>
            <w:noWrap/>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right="0" w:firstLine="560" w:firstLineChars="200"/>
              <w:textAlignment w:val="auto"/>
              <w:rPr>
                <w:rFonts w:hint="eastAsia" w:ascii="宋体" w:hAnsi="宋体" w:eastAsia="仿宋" w:cs="Arial"/>
                <w:kern w:val="2"/>
                <w:sz w:val="28"/>
                <w:szCs w:val="24"/>
                <w:lang w:val="en-US" w:eastAsia="zh-CN" w:bidi="ar-SA"/>
              </w:rPr>
            </w:pPr>
            <w:r>
              <w:rPr>
                <w:rFonts w:hint="eastAsia" w:ascii="宋体" w:hAnsi="宋体" w:eastAsia="仿宋" w:cs="Arial"/>
                <w:kern w:val="2"/>
                <w:sz w:val="28"/>
                <w:szCs w:val="24"/>
                <w:lang w:val="en-US" w:eastAsia="zh-CN" w:bidi="ar-SA"/>
              </w:rPr>
              <w:t>英文GlobalPositioningSystem的简称，全球定位系统，指利用全球定位系统定位卫星，在全球范围内实时进行定位、导航的协调。</w:t>
            </w:r>
          </w:p>
        </w:tc>
      </w:tr>
    </w:tbl>
    <w:p>
      <w:pPr>
        <w:widowControl/>
        <w:ind w:firstLine="280" w:firstLineChars="100"/>
        <w:rPr>
          <w:rFonts w:hint="eastAsia" w:ascii="仿宋" w:hAnsi="仿宋" w:cs="仿宋"/>
          <w:szCs w:val="28"/>
        </w:rPr>
      </w:pPr>
      <w:r>
        <w:rPr>
          <w:rFonts w:hint="eastAsia" w:ascii="仿宋" w:hAnsi="仿宋" w:cs="仿宋"/>
          <w:color w:val="000000"/>
          <w:kern w:val="0"/>
          <w:szCs w:val="28"/>
        </w:rPr>
        <w:t>注：本挂牌转让说明书除特别说明外所有数值保留两位小</w:t>
      </w:r>
      <w:r>
        <w:rPr>
          <w:rFonts w:hint="eastAsia" w:ascii="仿宋" w:hAnsi="仿宋" w:cs="仿宋"/>
          <w:szCs w:val="28"/>
        </w:rPr>
        <w:t>数，若出现总数与各分数数值之和尾数不符的情况，均为四舍五入所致。</w:t>
      </w:r>
    </w:p>
    <w:p>
      <w:pPr>
        <w:pStyle w:val="3"/>
        <w:numPr>
          <w:ilvl w:val="0"/>
          <w:numId w:val="1"/>
        </w:numPr>
        <w:jc w:val="center"/>
        <w:rPr>
          <w:rFonts w:ascii="仿宋" w:hAnsi="仿宋" w:cs="仿宋"/>
          <w:sz w:val="32"/>
          <w:szCs w:val="32"/>
        </w:rPr>
      </w:pPr>
      <w:bookmarkStart w:id="15" w:name="_Toc6336"/>
      <w:r>
        <w:rPr>
          <w:rFonts w:hint="eastAsia" w:ascii="仿宋" w:hAnsi="仿宋" w:cs="仿宋"/>
          <w:sz w:val="32"/>
          <w:szCs w:val="32"/>
        </w:rPr>
        <w:t>重大风险及重大事项提示</w:t>
      </w:r>
      <w:bookmarkEnd w:id="15"/>
    </w:p>
    <w:p>
      <w:pPr>
        <w:pStyle w:val="4"/>
        <w:ind w:firstLine="0" w:firstLineChars="0"/>
        <w:rPr>
          <w:rFonts w:ascii="仿宋" w:hAnsi="仿宋" w:cs="仿宋"/>
          <w:sz w:val="32"/>
        </w:rPr>
      </w:pPr>
      <w:bookmarkStart w:id="16" w:name="_Toc25612"/>
      <w:r>
        <w:rPr>
          <w:rFonts w:hint="eastAsia" w:ascii="仿宋" w:hAnsi="仿宋" w:cs="仿宋"/>
          <w:sz w:val="32"/>
        </w:rPr>
        <w:t>一、重大风险提示及应对措施</w:t>
      </w:r>
      <w:bookmarkEnd w:id="16"/>
    </w:p>
    <w:p>
      <w:pPr>
        <w:ind w:firstLine="560" w:firstLineChars="200"/>
      </w:pPr>
      <w:r>
        <w:rPr>
          <w:rFonts w:hint="eastAsia"/>
        </w:rPr>
        <w:t>投资本公司的股票会涉及一系列的风险，因此，投资者在投资前，敬请将下列风险因素连同本挂牌转让说明书中其他内容一并考虑。下列风险因素是按照影响投资决策程度排序的，但该排序并不表示风险因素会依次发生。</w:t>
      </w:r>
    </w:p>
    <w:p>
      <w:pPr>
        <w:ind w:firstLine="560" w:firstLineChars="200"/>
        <w:rPr>
          <w:rFonts w:hint="eastAsia" w:ascii="Times New Roman" w:hAnsi="Times New Roman" w:cs="Times New Roman"/>
          <w:lang w:val="en-US" w:eastAsia="zh-CN"/>
        </w:rPr>
      </w:pPr>
      <w:r>
        <w:rPr>
          <w:rFonts w:hint="eastAsia" w:cs="Times New Roman"/>
          <w:lang w:val="en-US" w:eastAsia="zh-CN"/>
        </w:rPr>
        <w:t>1</w:t>
      </w:r>
      <w:r>
        <w:rPr>
          <w:rFonts w:hint="eastAsia" w:ascii="Times New Roman" w:hAnsi="Times New Roman" w:cs="Times New Roman"/>
        </w:rPr>
        <w:t>、</w:t>
      </w:r>
      <w:r>
        <w:rPr>
          <w:rFonts w:hint="eastAsia" w:cs="Times New Roman"/>
          <w:lang w:val="en-US" w:eastAsia="zh-CN"/>
        </w:rPr>
        <w:t>道路运输</w:t>
      </w:r>
      <w:r>
        <w:rPr>
          <w:rFonts w:hint="eastAsia" w:ascii="Times New Roman" w:hAnsi="Times New Roman" w:cs="Times New Roman"/>
          <w:lang w:val="en-US" w:eastAsia="zh-CN"/>
        </w:rPr>
        <w:t>风险</w:t>
      </w:r>
    </w:p>
    <w:p>
      <w:pPr>
        <w:spacing w:after="156" w:afterLines="50" w:line="360" w:lineRule="auto"/>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公司主要从事物流运输业务，公司对运输过程中的车辆和工作人员都负有保管和监管的责任，对安全的要求非常高，因此道路运输安全事故是公司面临的重大风险之一。目前，公司制定了《安全作业操作规程》、《安全检查制度》等一系列制度，对公司的日常运输的安全进行全面预防和控制，但仍不排除由于路况、天气等问题引发的全事故发生后，公司可能面临货主索赔、财物损失、伤亡人员赔付、交通主管部门处罚、刑事处罚等风险，对公司生产经营产生不同程度的影响。</w:t>
      </w:r>
    </w:p>
    <w:p>
      <w:pPr>
        <w:spacing w:after="156" w:afterLines="50"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应对措施：</w:t>
      </w:r>
      <w:r>
        <w:rPr>
          <w:rFonts w:hint="eastAsia" w:ascii="宋体" w:hAnsi="宋体" w:cs="宋体"/>
        </w:rPr>
        <w:t>投保责任险获得保险理赔，</w:t>
      </w:r>
      <w:r>
        <w:rPr>
          <w:rFonts w:hint="eastAsia"/>
        </w:rPr>
        <w:t>将其责任风险事项先予以转移，当发生风险导致公司承担责任时，能及时从保险公司得到赔偿。</w:t>
      </w:r>
      <w:r>
        <w:rPr>
          <w:rFonts w:hint="eastAsia" w:ascii="宋体" w:hAnsi="宋体" w:cs="宋体"/>
        </w:rPr>
        <w:t>成立应急中心处理突发事件，由具有权威性和有经验的人员组成。在加强风险的预防和控制的基础上，建立起风险发生的应急管理机制</w:t>
      </w:r>
      <w:r>
        <w:rPr>
          <w:rFonts w:hint="eastAsia" w:ascii="宋体" w:hAnsi="宋体" w:cs="宋体"/>
          <w:lang w:eastAsia="zh-CN"/>
        </w:rPr>
        <w:t>。</w:t>
      </w:r>
      <w:r>
        <w:rPr>
          <w:rFonts w:hint="eastAsia"/>
        </w:rPr>
        <w:t>高度重视商品的特殊性，对每一个项目都要进行评估，分析风险的性质，找出主要风险可能在哪几个环节，而最容易出问题的又在哪里，从而给予高度重视</w:t>
      </w:r>
      <w:r>
        <w:rPr>
          <w:rFonts w:hint="eastAsia" w:ascii="仿宋" w:hAnsi="仿宋" w:eastAsia="仿宋" w:cstheme="minorEastAsia"/>
          <w:kern w:val="0"/>
          <w:sz w:val="28"/>
          <w:szCs w:val="28"/>
        </w:rPr>
        <w:t>。</w:t>
      </w:r>
    </w:p>
    <w:p>
      <w:pPr>
        <w:ind w:firstLine="560" w:firstLineChars="200"/>
        <w:rPr>
          <w:rFonts w:hint="eastAsia" w:ascii="Times New Roman" w:hAnsi="Times New Roman" w:cs="Times New Roman"/>
          <w:lang w:val="en-US" w:eastAsia="zh-CN"/>
        </w:rPr>
      </w:pPr>
      <w:r>
        <w:rPr>
          <w:rFonts w:hint="eastAsia" w:cs="Times New Roman"/>
          <w:lang w:val="en-US" w:eastAsia="zh-CN"/>
        </w:rPr>
        <w:t>2</w:t>
      </w:r>
      <w:r>
        <w:rPr>
          <w:rFonts w:hint="eastAsia" w:ascii="Times New Roman" w:hAnsi="Times New Roman" w:cs="Times New Roman"/>
        </w:rPr>
        <w:t>、</w:t>
      </w:r>
      <w:r>
        <w:rPr>
          <w:rFonts w:hint="eastAsia" w:cs="Times New Roman"/>
          <w:lang w:eastAsia="zh-CN"/>
        </w:rPr>
        <w:t>原材料波动</w:t>
      </w:r>
      <w:r>
        <w:rPr>
          <w:rFonts w:hint="eastAsia" w:ascii="Times New Roman" w:hAnsi="Times New Roman" w:cs="Times New Roman"/>
          <w:lang w:val="en-US" w:eastAsia="zh-CN"/>
        </w:rPr>
        <w:t>风险</w:t>
      </w:r>
    </w:p>
    <w:p>
      <w:pPr>
        <w:spacing w:after="156" w:afterLines="50"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theme="minorEastAsia"/>
          <w:kern w:val="0"/>
          <w:sz w:val="28"/>
          <w:szCs w:val="28"/>
        </w:rPr>
        <w:t>物流行业中，燃油动力占营业成本比重较大，原材料价格波动对行业利润水平有一定的影响。石油为全球定价的大宗商品，公司是石油价格的被动接受者，若未来石油价格上涨，公司营业成本不能有效传递给下游客户，则公司的利润率存在下行风险。</w:t>
      </w:r>
    </w:p>
    <w:p>
      <w:pPr>
        <w:pStyle w:val="20"/>
        <w:ind w:left="0" w:leftChars="0" w:firstLine="0" w:firstLineChars="0"/>
        <w:rPr>
          <w:rFonts w:hint="default"/>
          <w:lang w:val="en-US" w:eastAsia="zh-CN"/>
        </w:rPr>
      </w:pPr>
      <w:r>
        <w:rPr>
          <w:rFonts w:hint="eastAsia" w:ascii="仿宋" w:hAnsi="仿宋" w:eastAsia="仿宋" w:cs="仿宋"/>
          <w:color w:val="auto"/>
          <w:sz w:val="28"/>
          <w:szCs w:val="28"/>
          <w:highlight w:val="none"/>
          <w:lang w:val="en-US" w:eastAsia="zh-CN"/>
        </w:rPr>
        <w:t xml:space="preserve">   应对措施：</w:t>
      </w:r>
      <w:r>
        <w:rPr>
          <w:rFonts w:hint="eastAsia" w:ascii="仿宋" w:hAnsi="仿宋" w:eastAsia="仿宋" w:cstheme="minorEastAsia"/>
          <w:kern w:val="0"/>
          <w:sz w:val="28"/>
          <w:szCs w:val="28"/>
        </w:rPr>
        <w:t>密切关注燃油市场行情，多获取加油站促销优惠活动等信息，同时与燃料销售方建立长期合作或加入会员等形式，以获得相应优惠，应对价格波动风险</w:t>
      </w:r>
      <w:r>
        <w:rPr>
          <w:rFonts w:hint="eastAsia" w:ascii="仿宋" w:hAnsi="仿宋" w:eastAsia="仿宋" w:cs="仿宋"/>
          <w:color w:val="auto"/>
          <w:sz w:val="28"/>
          <w:szCs w:val="28"/>
          <w:highlight w:val="none"/>
          <w:lang w:val="en-US" w:eastAsia="zh-CN"/>
        </w:rPr>
        <w:t>。</w:t>
      </w:r>
    </w:p>
    <w:p>
      <w:pPr>
        <w:ind w:firstLine="560" w:firstLineChars="200"/>
        <w:rPr>
          <w:rFonts w:hint="eastAsia" w:ascii="宋体" w:hAnsi="宋体" w:cs="宋体"/>
          <w:b/>
          <w:bCs/>
          <w:lang w:val="en-US" w:eastAsia="zh-CN"/>
        </w:rPr>
      </w:pPr>
      <w:r>
        <w:rPr>
          <w:rFonts w:hint="eastAsia" w:ascii="宋体" w:hAnsi="宋体"/>
          <w:b w:val="0"/>
          <w:bCs/>
          <w:lang w:val="en-US" w:eastAsia="zh-CN"/>
        </w:rPr>
        <w:t>3、</w:t>
      </w:r>
      <w:r>
        <w:rPr>
          <w:rFonts w:hint="eastAsia" w:ascii="宋体" w:hAnsi="宋体"/>
          <w:b w:val="0"/>
          <w:bCs/>
        </w:rPr>
        <w:t>相关经营资质证书续期风险</w:t>
      </w:r>
      <w:r>
        <w:rPr>
          <w:rFonts w:hint="eastAsia" w:ascii="宋体" w:hAnsi="宋体" w:cs="宋体"/>
          <w:b/>
          <w:bCs/>
          <w:lang w:val="en-US" w:eastAsia="zh-CN"/>
        </w:rPr>
        <w:t xml:space="preserve"> </w:t>
      </w:r>
    </w:p>
    <w:p>
      <w:pPr>
        <w:ind w:firstLine="560" w:firstLineChars="200"/>
        <w:rPr>
          <w:rFonts w:hint="eastAsia" w:ascii="仿宋" w:hAnsi="仿宋" w:cs="仿宋"/>
          <w:sz w:val="28"/>
          <w:szCs w:val="28"/>
          <w:lang w:eastAsia="zh-CN"/>
        </w:rPr>
      </w:pPr>
      <w:r>
        <w:t>公司的主营业务为普通货物运输，属于道路运输行业。依据《中华人民共和国道路交通安全法》、《中华人民共和国道路运输条例》等法律规定，从事道路运输的公司应当获得交通管理部门颁发的《道路运输经营许可证》。目前，公司拥有的《道路运输经营许可证》仍在有效期内。但是如果上述资质到期后，公司无法顺利续期，则会对公司的业务造成较大不利影响</w:t>
      </w:r>
      <w:r>
        <w:rPr>
          <w:rFonts w:hint="eastAsia" w:ascii="仿宋" w:hAnsi="仿宋" w:eastAsia="仿宋" w:cs="仿宋"/>
          <w:sz w:val="28"/>
          <w:szCs w:val="28"/>
        </w:rPr>
        <w:t>。</w:t>
      </w:r>
      <w:r>
        <w:rPr>
          <w:rFonts w:hint="eastAsia" w:ascii="仿宋" w:hAnsi="仿宋" w:cs="仿宋"/>
          <w:sz w:val="28"/>
          <w:szCs w:val="28"/>
          <w:lang w:eastAsia="zh-CN"/>
        </w:rPr>
        <w:t>公司应时刻关注国家政策，及时办理相关资质证书等。</w:t>
      </w:r>
    </w:p>
    <w:p>
      <w:pPr>
        <w:pStyle w:val="20"/>
        <w:ind w:left="0" w:leftChars="0" w:firstLine="0" w:firstLineChars="0"/>
        <w:rPr>
          <w:rFonts w:hint="default"/>
          <w:lang w:val="en-US" w:eastAsia="zh-CN"/>
        </w:rPr>
      </w:pPr>
      <w:r>
        <w:rPr>
          <w:rFonts w:hint="eastAsia" w:ascii="仿宋" w:hAnsi="仿宋" w:cs="仿宋"/>
          <w:sz w:val="28"/>
          <w:szCs w:val="28"/>
          <w:lang w:val="en-US" w:eastAsia="zh-CN"/>
        </w:rPr>
        <w:t xml:space="preserve">    4、人才流失风险</w:t>
      </w:r>
    </w:p>
    <w:p>
      <w:pPr>
        <w:pStyle w:val="50"/>
        <w:rPr>
          <w:rFonts w:hint="eastAsia" w:cs="Times New Roman"/>
          <w:kern w:val="2"/>
          <w:szCs w:val="24"/>
        </w:rPr>
      </w:pPr>
      <w:r>
        <w:rPr>
          <w:rFonts w:hint="eastAsia" w:cs="Times New Roman"/>
          <w:kern w:val="2"/>
          <w:szCs w:val="24"/>
        </w:rPr>
        <w:t>目前，公司建立了一支由业务人员、管理人员、驾驶人员等组成的公司人才队伍。上述人员</w:t>
      </w:r>
      <w:r>
        <w:rPr>
          <w:rFonts w:hint="eastAsia" w:cs="Times New Roman"/>
          <w:kern w:val="2"/>
          <w:szCs w:val="24"/>
          <w:lang w:eastAsia="zh-CN"/>
        </w:rPr>
        <w:t>要求</w:t>
      </w:r>
      <w:r>
        <w:rPr>
          <w:rFonts w:hint="eastAsia" w:cs="Times New Roman"/>
          <w:kern w:val="2"/>
          <w:szCs w:val="24"/>
        </w:rPr>
        <w:t>行业经验丰富</w:t>
      </w:r>
      <w:r>
        <w:rPr>
          <w:rFonts w:hint="eastAsia" w:cs="Times New Roman"/>
          <w:kern w:val="2"/>
          <w:szCs w:val="24"/>
          <w:lang w:eastAsia="zh-CN"/>
        </w:rPr>
        <w:t>、驾驶技术高</w:t>
      </w:r>
      <w:r>
        <w:rPr>
          <w:rFonts w:hint="eastAsia" w:cs="Times New Roman"/>
          <w:kern w:val="2"/>
          <w:szCs w:val="24"/>
        </w:rPr>
        <w:t>，对公司的业务发展起到了重要作用。但由于目前物流运输行业竞争激烈，人员流动性较大，如果公司未能保持人才队伍的稳定性，则会对公司经营造成不利影响，因此公司存在人员流失的风险。</w:t>
      </w:r>
    </w:p>
    <w:p>
      <w:pPr>
        <w:spacing w:line="360" w:lineRule="auto"/>
        <w:ind w:firstLine="560" w:firstLineChars="200"/>
        <w:jc w:val="left"/>
        <w:rPr>
          <w:rFonts w:hint="eastAsia" w:ascii="仿宋" w:hAnsi="仿宋"/>
          <w:color w:val="000000"/>
          <w:lang w:val="en-US" w:eastAsia="zh-CN"/>
        </w:rPr>
      </w:pPr>
      <w:r>
        <w:rPr>
          <w:rFonts w:hint="eastAsia" w:ascii="仿宋" w:hAnsi="仿宋" w:eastAsia="仿宋" w:cs="仿宋"/>
          <w:color w:val="auto"/>
          <w:sz w:val="28"/>
          <w:szCs w:val="28"/>
          <w:highlight w:val="none"/>
          <w:lang w:val="en-US" w:eastAsia="zh-CN"/>
        </w:rPr>
        <w:t>针对上述风险，公司将进一步加大对核心人才的激励机制和培训机制，完善公司的晋升机制；同时，公司注重企业文化的建设和创造良好的工作环境，重视员工团建，使员工对公司具有归属感</w:t>
      </w:r>
      <w:r>
        <w:rPr>
          <w:rFonts w:hint="eastAsia" w:ascii="仿宋" w:hAnsi="仿宋" w:cs="Times New Roman"/>
          <w:color w:val="000000"/>
          <w:kern w:val="2"/>
          <w:sz w:val="28"/>
          <w:szCs w:val="28"/>
          <w:highlight w:val="none"/>
          <w:lang w:val="en-US" w:eastAsia="zh-CN" w:bidi="ar-SA"/>
        </w:rPr>
        <w:t>。</w:t>
      </w:r>
    </w:p>
    <w:p>
      <w:pPr>
        <w:numPr>
          <w:ilvl w:val="0"/>
          <w:numId w:val="0"/>
        </w:numPr>
        <w:spacing w:line="360" w:lineRule="auto"/>
        <w:ind w:firstLine="560" w:firstLineChars="200"/>
        <w:jc w:val="left"/>
        <w:rPr>
          <w:rFonts w:hint="eastAsia" w:ascii="仿宋" w:hAnsi="仿宋"/>
          <w:color w:val="000000"/>
          <w:sz w:val="28"/>
          <w:szCs w:val="22"/>
          <w:lang w:val="en-US" w:eastAsia="zh-CN"/>
        </w:rPr>
      </w:pPr>
      <w:r>
        <w:rPr>
          <w:rFonts w:hint="eastAsia" w:ascii="仿宋" w:hAnsi="仿宋"/>
          <w:color w:val="000000"/>
          <w:sz w:val="28"/>
          <w:szCs w:val="22"/>
          <w:lang w:val="en-US" w:eastAsia="zh-CN"/>
        </w:rPr>
        <w:t>5、社会保险不规范风险</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仿宋" w:hAnsi="仿宋"/>
          <w:color w:val="000000"/>
          <w:sz w:val="28"/>
          <w:szCs w:val="22"/>
          <w:lang w:val="en-US" w:eastAsia="zh-CN"/>
        </w:rPr>
      </w:pPr>
      <w:r>
        <w:rPr>
          <w:rFonts w:hint="eastAsia" w:ascii="仿宋" w:hAnsi="仿宋" w:eastAsia="仿宋"/>
          <w:color w:val="000000"/>
          <w:sz w:val="28"/>
          <w:szCs w:val="22"/>
          <w:lang w:val="en-US" w:eastAsia="zh-CN"/>
        </w:rPr>
        <w:t>公司现有</w:t>
      </w:r>
      <w:r>
        <w:rPr>
          <w:rFonts w:hint="eastAsia" w:ascii="仿宋" w:hAnsi="仿宋" w:eastAsia="仿宋"/>
          <w:color w:val="000000"/>
          <w:sz w:val="28"/>
          <w:szCs w:val="22"/>
          <w:highlight w:val="none"/>
          <w:lang w:val="en-US" w:eastAsia="zh-CN"/>
        </w:rPr>
        <w:t>员工</w:t>
      </w:r>
      <w:r>
        <w:rPr>
          <w:rFonts w:hint="eastAsia" w:ascii="仿宋" w:hAnsi="仿宋"/>
          <w:color w:val="000000"/>
          <w:sz w:val="28"/>
          <w:szCs w:val="22"/>
          <w:highlight w:val="none"/>
          <w:lang w:val="en-US" w:eastAsia="zh-CN"/>
        </w:rPr>
        <w:t>26</w:t>
      </w:r>
      <w:r>
        <w:rPr>
          <w:rFonts w:hint="eastAsia" w:ascii="仿宋" w:hAnsi="仿宋" w:eastAsia="仿宋"/>
          <w:color w:val="000000"/>
          <w:sz w:val="28"/>
          <w:szCs w:val="22"/>
          <w:highlight w:val="none"/>
          <w:lang w:val="en-US" w:eastAsia="zh-CN"/>
        </w:rPr>
        <w:t>人，</w:t>
      </w:r>
      <w:r>
        <w:rPr>
          <w:rFonts w:hint="eastAsia" w:ascii="仿宋" w:hAnsi="仿宋"/>
          <w:color w:val="000000"/>
          <w:sz w:val="28"/>
          <w:szCs w:val="22"/>
          <w:highlight w:val="none"/>
          <w:lang w:val="en-US" w:eastAsia="zh-CN"/>
        </w:rPr>
        <w:t>缴纳社会保险人员为0人，</w:t>
      </w:r>
      <w:r>
        <w:rPr>
          <w:rFonts w:hint="eastAsia" w:ascii="仿宋" w:hAnsi="仿宋"/>
          <w:color w:val="000000"/>
          <w:sz w:val="28"/>
          <w:szCs w:val="22"/>
          <w:lang w:val="en-US" w:eastAsia="zh-CN"/>
        </w:rPr>
        <w:t>公司没有为全体员工</w:t>
      </w:r>
      <w:r>
        <w:rPr>
          <w:rFonts w:hint="eastAsia" w:ascii="仿宋" w:hAnsi="仿宋" w:eastAsia="仿宋"/>
          <w:color w:val="000000"/>
          <w:sz w:val="28"/>
          <w:szCs w:val="22"/>
          <w:lang w:val="en-US" w:eastAsia="zh-CN"/>
        </w:rPr>
        <w:t>缴纳社会保险，公司在社保缴纳方面存在不规范之处</w:t>
      </w:r>
      <w:r>
        <w:rPr>
          <w:rFonts w:hint="eastAsia" w:ascii="仿宋" w:hAnsi="仿宋"/>
          <w:color w:val="000000"/>
          <w:sz w:val="28"/>
          <w:szCs w:val="22"/>
          <w:lang w:val="en-US" w:eastAsia="zh-CN"/>
        </w:rPr>
        <w:t xml:space="preserve">，将会给公司带来风险，企业不但要补缴费用或赔偿劳动者损失，而且还可能承担行政责任或刑事责任或经营上的法律风险。 </w:t>
      </w:r>
    </w:p>
    <w:p>
      <w:pPr>
        <w:spacing w:line="360" w:lineRule="auto"/>
        <w:ind w:firstLine="560" w:firstLineChars="200"/>
        <w:jc w:val="left"/>
        <w:rPr>
          <w:rFonts w:hint="eastAsia" w:ascii="仿宋" w:hAnsi="仿宋"/>
          <w:color w:val="000000"/>
          <w:lang w:val="en-US" w:eastAsia="zh-CN"/>
        </w:rPr>
      </w:pPr>
      <w:r>
        <w:rPr>
          <w:rFonts w:hint="eastAsia" w:ascii="仿宋" w:hAnsi="仿宋"/>
          <w:color w:val="000000"/>
          <w:sz w:val="28"/>
          <w:szCs w:val="22"/>
          <w:lang w:val="en-US" w:eastAsia="zh-CN"/>
        </w:rPr>
        <w:t>为了避免上述风险</w:t>
      </w:r>
      <w:r>
        <w:rPr>
          <w:rFonts w:hint="eastAsia" w:ascii="宋体" w:hAnsi="宋体" w:cs="宋体"/>
          <w:kern w:val="0"/>
        </w:rPr>
        <w:t>，经推荐机构督导，公司</w:t>
      </w:r>
      <w:r>
        <w:rPr>
          <w:rFonts w:ascii="宋体" w:hAnsi="宋体" w:cs="宋体"/>
          <w:kern w:val="0"/>
        </w:rPr>
        <w:t>实际控制人</w:t>
      </w:r>
      <w:r>
        <w:rPr>
          <w:rFonts w:hint="eastAsia" w:ascii="宋体" w:hAnsi="宋体" w:cs="宋体"/>
          <w:kern w:val="0"/>
        </w:rPr>
        <w:t>作出书面承诺</w:t>
      </w:r>
      <w:r>
        <w:rPr>
          <w:rFonts w:ascii="宋体" w:hAnsi="宋体" w:cs="宋体"/>
          <w:kern w:val="0"/>
        </w:rPr>
        <w:t>：“</w:t>
      </w:r>
      <w:r>
        <w:rPr>
          <w:rFonts w:hint="eastAsia" w:ascii="宋体" w:hAnsi="宋体" w:cs="Arial"/>
          <w:snapToGrid w:val="0"/>
          <w:highlight w:val="none"/>
          <w:lang w:eastAsia="zh-CN"/>
        </w:rPr>
        <w:t>淄博锦茂运输股份有限公司</w:t>
      </w:r>
      <w:r>
        <w:rPr>
          <w:rFonts w:hint="eastAsia" w:ascii="宋体" w:hAnsi="宋体" w:cs="Arial"/>
          <w:snapToGrid w:val="0"/>
          <w:lang w:eastAsia="zh-CN"/>
        </w:rPr>
        <w:t>将</w:t>
      </w:r>
      <w:r>
        <w:rPr>
          <w:rFonts w:hint="eastAsia" w:ascii="宋体" w:hAnsi="宋体" w:cs="宋体"/>
          <w:kern w:val="0"/>
        </w:rPr>
        <w:t>按照有关法律、法规的规定为公司员工办理劳动关系登记备案和社会保险事宜，并按期、足额缴纳有关社会保险费。</w:t>
      </w:r>
      <w:r>
        <w:rPr>
          <w:rFonts w:hint="eastAsia" w:ascii="宋体" w:hAnsi="宋体" w:cs="宋体"/>
          <w:kern w:val="0"/>
          <w:lang w:eastAsia="zh-CN"/>
        </w:rPr>
        <w:t>”</w:t>
      </w:r>
    </w:p>
    <w:p>
      <w:pPr>
        <w:spacing w:line="360" w:lineRule="auto"/>
        <w:ind w:firstLine="560" w:firstLineChars="200"/>
        <w:jc w:val="left"/>
        <w:rPr>
          <w:rFonts w:ascii="仿宋" w:hAnsi="仿宋"/>
          <w:color w:val="000000"/>
        </w:rPr>
      </w:pPr>
      <w:r>
        <w:rPr>
          <w:rFonts w:hint="eastAsia" w:ascii="仿宋" w:hAnsi="仿宋"/>
          <w:color w:val="000000"/>
          <w:lang w:val="en-US" w:eastAsia="zh-CN"/>
        </w:rPr>
        <w:t>6</w:t>
      </w:r>
      <w:r>
        <w:rPr>
          <w:rFonts w:hint="eastAsia" w:ascii="仿宋" w:hAnsi="仿宋"/>
          <w:color w:val="000000"/>
        </w:rPr>
        <w:t>、内部管理风险</w:t>
      </w:r>
    </w:p>
    <w:p>
      <w:pPr>
        <w:spacing w:line="360" w:lineRule="auto"/>
        <w:ind w:firstLine="560" w:firstLineChars="200"/>
        <w:jc w:val="left"/>
        <w:rPr>
          <w:rFonts w:hint="eastAsia" w:ascii="仿宋" w:hAnsi="仿宋"/>
          <w:color w:val="000000"/>
        </w:rPr>
      </w:pPr>
      <w:r>
        <w:rPr>
          <w:rFonts w:hint="eastAsia" w:ascii="仿宋" w:hAnsi="仿宋"/>
          <w:color w:val="000000"/>
        </w:rPr>
        <w:t>公司整体变更为股份公司后，制定了新的《公司章程》、“三会”议事规则、《关联交易决策制度》等，但由于股份公司和有限公司在公司治理上存在较大的不同，特别是公司股份进行公开转让后，新的制度对公司治理提出了更高的要求。而公司管理层及员工对相关制度的理解和执行尚需要一个过程，因此短期内公司治理可能存在一定的不规范风险。</w:t>
      </w:r>
    </w:p>
    <w:p>
      <w:pPr>
        <w:spacing w:line="360" w:lineRule="auto"/>
        <w:ind w:firstLine="560" w:firstLineChars="200"/>
        <w:jc w:val="left"/>
        <w:rPr>
          <w:rFonts w:hint="eastAsia" w:ascii="仿宋" w:hAnsi="仿宋"/>
          <w:color w:val="000000"/>
        </w:rPr>
      </w:pPr>
      <w:r>
        <w:rPr>
          <w:rFonts w:hint="eastAsia" w:ascii="仿宋" w:hAnsi="仿宋"/>
          <w:color w:val="000000"/>
          <w:lang w:eastAsia="zh-CN"/>
        </w:rPr>
        <w:t>应对措施：应</w:t>
      </w:r>
      <w:r>
        <w:rPr>
          <w:rFonts w:hint="eastAsia" w:ascii="仿宋" w:hAnsi="仿宋"/>
          <w:color w:val="000000"/>
        </w:rPr>
        <w:t>建立内部控制体系，完善法人治理结构，提高管理层的规范化意识。</w:t>
      </w:r>
    </w:p>
    <w:p>
      <w:pPr>
        <w:spacing w:line="360" w:lineRule="auto"/>
        <w:ind w:firstLine="560" w:firstLineChars="200"/>
        <w:jc w:val="left"/>
        <w:rPr>
          <w:rFonts w:ascii="仿宋" w:hAnsi="仿宋"/>
          <w:color w:val="000000"/>
        </w:rPr>
      </w:pPr>
      <w:r>
        <w:rPr>
          <w:rFonts w:hint="eastAsia" w:ascii="仿宋" w:hAnsi="仿宋"/>
          <w:color w:val="000000"/>
          <w:lang w:val="en-US" w:eastAsia="zh-CN"/>
        </w:rPr>
        <w:t>7</w:t>
      </w:r>
      <w:r>
        <w:rPr>
          <w:rFonts w:hint="eastAsia" w:ascii="仿宋" w:hAnsi="仿宋"/>
          <w:color w:val="000000"/>
        </w:rPr>
        <w:t>、实际控制人风险</w:t>
      </w:r>
    </w:p>
    <w:p>
      <w:pPr>
        <w:spacing w:line="360" w:lineRule="auto"/>
        <w:ind w:firstLine="560" w:firstLineChars="200"/>
        <w:jc w:val="left"/>
        <w:rPr>
          <w:rFonts w:ascii="仿宋" w:hAnsi="仿宋"/>
          <w:color w:val="000000"/>
        </w:rPr>
      </w:pPr>
      <w:r>
        <w:rPr>
          <w:rFonts w:hint="eastAsia" w:ascii="仿宋" w:hAnsi="仿宋"/>
          <w:color w:val="000000"/>
        </w:rPr>
        <w:t>截至本说明书签署之日，</w:t>
      </w:r>
      <w:r>
        <w:rPr>
          <w:rFonts w:hint="eastAsia" w:ascii="仿宋" w:hAnsi="仿宋"/>
          <w:color w:val="000000"/>
          <w:highlight w:val="none"/>
        </w:rPr>
        <w:t>本公司的</w:t>
      </w:r>
      <w:r>
        <w:rPr>
          <w:rFonts w:hint="eastAsia" w:ascii="仿宋" w:hAnsi="仿宋"/>
          <w:color w:val="000000"/>
          <w:highlight w:val="none"/>
          <w:lang w:eastAsia="zh-CN"/>
        </w:rPr>
        <w:t>控股股东、实际控制人是张涛，持股比例</w:t>
      </w:r>
      <w:r>
        <w:rPr>
          <w:rFonts w:hint="eastAsia" w:ascii="仿宋" w:hAnsi="仿宋"/>
          <w:color w:val="000000"/>
          <w:highlight w:val="none"/>
          <w:lang w:val="en-US" w:eastAsia="zh-CN"/>
        </w:rPr>
        <w:t>93.75%，并且张涛担任本公司的董</w:t>
      </w:r>
      <w:r>
        <w:rPr>
          <w:rFonts w:hint="eastAsia" w:ascii="仿宋" w:hAnsi="仿宋"/>
          <w:color w:val="000000"/>
          <w:lang w:val="en-US" w:eastAsia="zh-CN"/>
        </w:rPr>
        <w:t>事长兼总经理，</w:t>
      </w:r>
      <w:r>
        <w:rPr>
          <w:rFonts w:hint="eastAsia" w:ascii="仿宋" w:hAnsi="仿宋"/>
          <w:color w:val="000000"/>
        </w:rPr>
        <w:t>其能够对本公司的人事任免权、经营决策和管理、投资方针、《公司章程》及利润分配政策等重大事项的决策予以控制或施加重大影响</w:t>
      </w:r>
      <w:r>
        <w:rPr>
          <w:rFonts w:hint="eastAsia" w:ascii="仿宋" w:hAnsi="仿宋"/>
          <w:color w:val="000000"/>
          <w:lang w:eastAsia="zh-CN"/>
        </w:rPr>
        <w:t>，</w:t>
      </w:r>
      <w:r>
        <w:rPr>
          <w:rFonts w:hint="eastAsia" w:ascii="仿宋" w:hAnsi="仿宋"/>
          <w:color w:val="000000"/>
        </w:rPr>
        <w:t>由于实际控制人的部分利益可能与其他股东的利益不完全一致，因而实际控制人可能会促使本公司作出有悖于本公司其他股东最佳利益的决定，从而有可能引发实际控制人控制的风险。</w:t>
      </w:r>
    </w:p>
    <w:p>
      <w:pPr>
        <w:spacing w:line="360" w:lineRule="auto"/>
        <w:ind w:firstLine="560" w:firstLineChars="200"/>
        <w:jc w:val="left"/>
        <w:rPr>
          <w:rFonts w:ascii="仿宋" w:hAnsi="仿宋"/>
          <w:color w:val="000000"/>
        </w:rPr>
      </w:pPr>
      <w:r>
        <w:rPr>
          <w:rFonts w:hint="eastAsia" w:ascii="仿宋" w:hAnsi="仿宋"/>
          <w:color w:val="000000"/>
        </w:rPr>
        <w:t>为了防范实际控制人利用公司的绝对控股地位而损害本公司及其他股东利益，公司将按照现代企业制度的要求，建立董事会、监事会、企业管理层组织机</w:t>
      </w:r>
      <w:r>
        <w:rPr>
          <w:rFonts w:hint="eastAsia" w:ascii="宋体" w:hAnsi="宋体"/>
        </w:rPr>
        <w:t>构，</w:t>
      </w:r>
      <w:r>
        <w:rPr>
          <w:rFonts w:hint="eastAsia" w:ascii="仿宋" w:hAnsi="仿宋"/>
          <w:color w:val="000000"/>
        </w:rPr>
        <w:t>明确规定董事会、监事会的职权、性质、规则及授权，</w:t>
      </w:r>
      <w:r>
        <w:rPr>
          <w:rFonts w:ascii="仿宋" w:hAnsi="仿宋"/>
          <w:color w:val="000000"/>
        </w:rPr>
        <w:t xml:space="preserve"> </w:t>
      </w:r>
      <w:r>
        <w:rPr>
          <w:rFonts w:hint="eastAsia" w:ascii="仿宋" w:hAnsi="仿宋"/>
          <w:color w:val="000000"/>
        </w:rPr>
        <w:t>形成有效的职责分工和制衡机制。</w:t>
      </w:r>
    </w:p>
    <w:p>
      <w:pPr>
        <w:pStyle w:val="4"/>
        <w:ind w:firstLine="643"/>
        <w:rPr>
          <w:rFonts w:ascii="宋体" w:hAnsi="宋体" w:eastAsia="宋体" w:cs="宋体"/>
          <w:sz w:val="32"/>
        </w:rPr>
      </w:pPr>
      <w:bookmarkStart w:id="17" w:name="_Toc1347"/>
      <w:r>
        <w:rPr>
          <w:rFonts w:hint="eastAsia" w:ascii="宋体" w:hAnsi="宋体" w:eastAsia="宋体" w:cs="宋体"/>
          <w:sz w:val="32"/>
        </w:rPr>
        <w:t>二、</w:t>
      </w:r>
      <w:r>
        <w:rPr>
          <w:rFonts w:hint="eastAsia" w:ascii="仿宋" w:hAnsi="仿宋" w:cs="仿宋"/>
          <w:sz w:val="32"/>
        </w:rPr>
        <w:t>重大事项提示</w:t>
      </w:r>
      <w:bookmarkEnd w:id="17"/>
    </w:p>
    <w:p>
      <w:pPr>
        <w:adjustRightInd w:val="0"/>
        <w:snapToGrid w:val="0"/>
        <w:spacing w:line="360" w:lineRule="auto"/>
        <w:ind w:left="643"/>
        <w:rPr>
          <w:rFonts w:ascii="仿宋" w:hAnsi="仿宋" w:cs="仿宋"/>
          <w:b/>
          <w:szCs w:val="28"/>
        </w:rPr>
      </w:pPr>
      <w:r>
        <w:rPr>
          <w:rFonts w:hint="eastAsia" w:ascii="仿宋" w:hAnsi="仿宋" w:cs="仿宋"/>
          <w:bCs/>
          <w:szCs w:val="28"/>
        </w:rPr>
        <w:t>1、股东关于自愿锁定股票的承诺</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作为</w:t>
      </w:r>
      <w:r>
        <w:rPr>
          <w:rFonts w:hint="eastAsia" w:ascii="仿宋" w:hAnsi="仿宋" w:cs="仿宋"/>
          <w:szCs w:val="28"/>
          <w:lang w:eastAsia="zh-CN"/>
        </w:rPr>
        <w:t>淄博锦茂运输股份有限公司</w:t>
      </w:r>
      <w:r>
        <w:rPr>
          <w:rFonts w:hint="eastAsia" w:ascii="仿宋" w:hAnsi="仿宋" w:cs="仿宋"/>
          <w:szCs w:val="28"/>
        </w:rPr>
        <w:t>（以下简称“公司”）的股东，根据国家法律、法规关于股票限售的规定，郑重承诺如下：</w:t>
      </w:r>
    </w:p>
    <w:p>
      <w:pPr>
        <w:adjustRightInd w:val="0"/>
        <w:snapToGrid w:val="0"/>
        <w:spacing w:line="360" w:lineRule="auto"/>
        <w:ind w:firstLine="560" w:firstLineChars="200"/>
        <w:rPr>
          <w:rFonts w:ascii="宋体" w:hAnsi="宋体"/>
          <w:sz w:val="24"/>
        </w:rPr>
      </w:pPr>
      <w:r>
        <w:rPr>
          <w:rFonts w:hint="eastAsia" w:ascii="仿宋" w:hAnsi="仿宋" w:cs="仿宋"/>
          <w:szCs w:val="28"/>
        </w:rPr>
        <w:t>自公司股票在齐鲁股权交易中心挂牌之日起十二个月内，不转让或委托他人管理本人持有的公司的股份，也不由公司回购本人持有的股份</w:t>
      </w:r>
      <w:r>
        <w:rPr>
          <w:rFonts w:hint="eastAsia" w:ascii="宋体" w:hAnsi="宋体"/>
          <w:sz w:val="24"/>
        </w:rPr>
        <w:t>。</w:t>
      </w:r>
    </w:p>
    <w:p>
      <w:pPr>
        <w:adjustRightInd w:val="0"/>
        <w:snapToGrid w:val="0"/>
        <w:spacing w:line="360" w:lineRule="auto"/>
        <w:ind w:left="643"/>
        <w:rPr>
          <w:rFonts w:ascii="仿宋" w:hAnsi="仿宋" w:cs="仿宋"/>
          <w:bCs/>
          <w:szCs w:val="28"/>
        </w:rPr>
      </w:pPr>
      <w:r>
        <w:rPr>
          <w:rFonts w:hint="eastAsia" w:ascii="仿宋" w:hAnsi="仿宋" w:cs="仿宋"/>
          <w:bCs/>
          <w:szCs w:val="28"/>
        </w:rPr>
        <w:t>2、股利分配政策</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根据公司现行有效的《</w:t>
      </w:r>
      <w:r>
        <w:rPr>
          <w:rFonts w:hint="eastAsia" w:ascii="仿宋" w:hAnsi="仿宋" w:cs="仿宋"/>
          <w:szCs w:val="28"/>
          <w:lang w:eastAsia="zh-CN"/>
        </w:rPr>
        <w:t>淄博锦茂运输股份有限公司</w:t>
      </w:r>
      <w:r>
        <w:rPr>
          <w:rFonts w:hint="eastAsia" w:ascii="仿宋" w:hAnsi="仿宋" w:cs="仿宋"/>
          <w:szCs w:val="28"/>
        </w:rPr>
        <w:t>利润分配规则》，公司股利分配政策如下：</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公司分配当年税后利润时，应当提取利润的百分之十列入公司法定公积金。公司法定公积金累计额为公司注册资本的百分之五十以上的，可以不再提取。</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公司的法定公积金不足以弥补以前年度亏损的，在依照前款规定提取法定公积金之前，应当先用当年利润弥补亏损。</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公司从税后利润中提取法定公积金后，经股东决议，还可以从税后利润中提取任意公积金。</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股东或者董事违反前款规定，在公司弥补亏损和提取法定公积金之前向股东分配利润的，股东必须将违反规定分配的利润退还公司。</w:t>
      </w:r>
    </w:p>
    <w:p>
      <w:pPr>
        <w:adjustRightInd w:val="0"/>
        <w:snapToGrid w:val="0"/>
        <w:spacing w:line="360" w:lineRule="auto"/>
        <w:ind w:firstLine="560" w:firstLineChars="200"/>
        <w:rPr>
          <w:rFonts w:hint="eastAsia" w:ascii="仿宋" w:hAnsi="仿宋" w:cs="仿宋"/>
          <w:szCs w:val="28"/>
        </w:rPr>
      </w:pPr>
      <w:r>
        <w:rPr>
          <w:rFonts w:hint="eastAsia" w:ascii="仿宋" w:hAnsi="仿宋" w:cs="仿宋"/>
          <w:szCs w:val="28"/>
        </w:rPr>
        <w:t>公司弥补亏损和提取公积金后所余税后利润，按照股东持有的股份比例分配。</w:t>
      </w: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20"/>
        <w:rPr>
          <w:rFonts w:hint="eastAsia" w:ascii="仿宋" w:hAnsi="仿宋" w:cs="仿宋"/>
          <w:szCs w:val="28"/>
        </w:rPr>
      </w:pPr>
    </w:p>
    <w:p>
      <w:pPr>
        <w:pStyle w:val="3"/>
        <w:numPr>
          <w:ilvl w:val="0"/>
          <w:numId w:val="1"/>
        </w:numPr>
        <w:jc w:val="center"/>
        <w:rPr>
          <w:rFonts w:ascii="仿宋" w:hAnsi="仿宋" w:cs="仿宋"/>
          <w:sz w:val="32"/>
          <w:szCs w:val="32"/>
        </w:rPr>
      </w:pPr>
      <w:bookmarkStart w:id="18" w:name="_Toc3451"/>
      <w:r>
        <w:rPr>
          <w:rFonts w:hint="eastAsia" w:ascii="仿宋" w:hAnsi="仿宋" w:cs="仿宋"/>
          <w:sz w:val="32"/>
          <w:szCs w:val="32"/>
        </w:rPr>
        <w:t>基本情况</w:t>
      </w:r>
      <w:bookmarkEnd w:id="18"/>
    </w:p>
    <w:p>
      <w:pPr>
        <w:pStyle w:val="4"/>
        <w:ind w:firstLine="643"/>
        <w:rPr>
          <w:rFonts w:ascii="仿宋" w:hAnsi="仿宋" w:cs="仿宋"/>
          <w:sz w:val="32"/>
        </w:rPr>
      </w:pPr>
      <w:bookmarkStart w:id="19" w:name="_Toc4524"/>
      <w:bookmarkStart w:id="20" w:name="_Toc517203287"/>
      <w:r>
        <w:rPr>
          <w:rFonts w:hint="eastAsia" w:ascii="仿宋" w:hAnsi="仿宋" w:cs="仿宋"/>
          <w:sz w:val="32"/>
        </w:rPr>
        <w:t>一、公司基本情况</w:t>
      </w:r>
      <w:bookmarkEnd w:id="19"/>
      <w:bookmarkEnd w:id="20"/>
    </w:p>
    <w:p>
      <w:pPr>
        <w:ind w:firstLine="562" w:firstLineChars="200"/>
        <w:rPr>
          <w:rFonts w:ascii="仿宋" w:hAnsi="仿宋" w:cs="仿宋"/>
          <w:b/>
          <w:bCs/>
          <w:szCs w:val="28"/>
        </w:rPr>
      </w:pPr>
      <w:r>
        <w:rPr>
          <w:rFonts w:hint="eastAsia" w:ascii="仿宋" w:hAnsi="仿宋" w:cs="仿宋"/>
          <w:b/>
          <w:bCs/>
          <w:szCs w:val="28"/>
        </w:rPr>
        <w:t>1、公司情况</w:t>
      </w:r>
    </w:p>
    <w:p>
      <w:pPr>
        <w:ind w:firstLine="560" w:firstLineChars="200"/>
        <w:rPr>
          <w:rFonts w:ascii="仿宋" w:hAnsi="仿宋" w:eastAsia="仿宋"/>
          <w:sz w:val="28"/>
          <w:szCs w:val="28"/>
        </w:rPr>
      </w:pPr>
      <w:r>
        <w:rPr>
          <w:rFonts w:hint="eastAsia" w:ascii="仿宋" w:hAnsi="仿宋" w:eastAsia="仿宋"/>
          <w:sz w:val="28"/>
          <w:szCs w:val="28"/>
        </w:rPr>
        <w:t>公司名称：</w:t>
      </w:r>
      <w:r>
        <w:rPr>
          <w:rFonts w:hint="eastAsia" w:ascii="仿宋" w:hAnsi="仿宋"/>
          <w:sz w:val="28"/>
          <w:szCs w:val="28"/>
          <w:lang w:eastAsia="zh-CN"/>
        </w:rPr>
        <w:t>淄博锦茂运输股份有限公司</w:t>
      </w:r>
      <w:r>
        <w:rPr>
          <w:rFonts w:ascii="仿宋" w:hAnsi="仿宋" w:eastAsia="仿宋"/>
          <w:sz w:val="28"/>
          <w:szCs w:val="28"/>
        </w:rPr>
        <w:t xml:space="preserve"> </w:t>
      </w:r>
    </w:p>
    <w:p>
      <w:pPr>
        <w:ind w:firstLine="560" w:firstLineChars="200"/>
        <w:rPr>
          <w:rFonts w:hint="default" w:ascii="仿宋" w:hAnsi="仿宋"/>
          <w:sz w:val="28"/>
          <w:szCs w:val="28"/>
          <w:lang w:val="en-US" w:eastAsia="zh-CN"/>
        </w:rPr>
      </w:pPr>
      <w:r>
        <w:rPr>
          <w:rFonts w:hint="eastAsia" w:ascii="仿宋" w:hAnsi="仿宋" w:eastAsia="仿宋"/>
          <w:sz w:val="28"/>
          <w:szCs w:val="28"/>
        </w:rPr>
        <w:t>统一社会信用代码：</w:t>
      </w:r>
      <w:r>
        <w:rPr>
          <w:rFonts w:hint="eastAsia" w:ascii="仿宋" w:hAnsi="仿宋"/>
          <w:sz w:val="28"/>
          <w:szCs w:val="28"/>
          <w:lang w:val="en-US" w:eastAsia="zh-CN"/>
        </w:rPr>
        <w:t>91370302696860083H</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sz w:val="28"/>
          <w:szCs w:val="28"/>
          <w:lang w:eastAsia="zh-CN"/>
        </w:rPr>
        <w:t>张涛</w:t>
      </w:r>
    </w:p>
    <w:p>
      <w:pPr>
        <w:ind w:firstLine="560" w:firstLineChars="200"/>
        <w:rPr>
          <w:rFonts w:hint="eastAsia" w:ascii="仿宋" w:hAnsi="仿宋" w:eastAsia="仿宋"/>
          <w:sz w:val="28"/>
          <w:szCs w:val="28"/>
        </w:rPr>
      </w:pPr>
      <w:r>
        <w:rPr>
          <w:rFonts w:hint="eastAsia" w:ascii="仿宋" w:hAnsi="仿宋" w:eastAsia="仿宋"/>
          <w:sz w:val="28"/>
          <w:szCs w:val="28"/>
        </w:rPr>
        <w:t>注册资本：</w:t>
      </w:r>
      <w:r>
        <w:rPr>
          <w:rFonts w:hint="eastAsia" w:ascii="仿宋" w:hAnsi="仿宋"/>
          <w:sz w:val="28"/>
          <w:szCs w:val="28"/>
          <w:lang w:eastAsia="zh-CN"/>
        </w:rPr>
        <w:t>叁佰贰拾</w:t>
      </w:r>
      <w:r>
        <w:rPr>
          <w:rFonts w:hint="eastAsia" w:ascii="仿宋" w:hAnsi="仿宋" w:eastAsia="仿宋"/>
          <w:sz w:val="28"/>
          <w:szCs w:val="28"/>
        </w:rPr>
        <w:t xml:space="preserve">万元整 </w:t>
      </w:r>
    </w:p>
    <w:p>
      <w:pPr>
        <w:ind w:firstLine="560" w:firstLineChars="200"/>
        <w:rPr>
          <w:rFonts w:hint="default" w:ascii="仿宋" w:hAnsi="仿宋" w:eastAsia="仿宋"/>
          <w:sz w:val="28"/>
          <w:szCs w:val="28"/>
          <w:lang w:val="en-US" w:eastAsia="zh-CN"/>
        </w:rPr>
      </w:pPr>
      <w:r>
        <w:rPr>
          <w:rFonts w:hint="eastAsia" w:ascii="仿宋" w:hAnsi="仿宋"/>
          <w:sz w:val="28"/>
          <w:szCs w:val="28"/>
          <w:lang w:val="en-US" w:eastAsia="zh-CN"/>
        </w:rPr>
        <w:t>实收资本：</w:t>
      </w:r>
      <w:r>
        <w:rPr>
          <w:rFonts w:hint="eastAsia" w:ascii="仿宋" w:hAnsi="仿宋"/>
          <w:sz w:val="28"/>
          <w:szCs w:val="28"/>
          <w:highlight w:val="none"/>
          <w:lang w:eastAsia="zh-CN"/>
        </w:rPr>
        <w:t>叁佰</w:t>
      </w:r>
      <w:r>
        <w:rPr>
          <w:rFonts w:hint="eastAsia" w:ascii="仿宋" w:hAnsi="仿宋" w:eastAsia="仿宋"/>
          <w:sz w:val="28"/>
          <w:szCs w:val="28"/>
          <w:highlight w:val="none"/>
        </w:rPr>
        <w:t xml:space="preserve">万元整 </w:t>
      </w:r>
    </w:p>
    <w:p>
      <w:pPr>
        <w:ind w:firstLine="560" w:firstLineChars="200"/>
        <w:rPr>
          <w:rFonts w:ascii="仿宋" w:hAnsi="仿宋" w:eastAsia="仿宋"/>
          <w:sz w:val="28"/>
          <w:szCs w:val="28"/>
        </w:rPr>
      </w:pPr>
      <w:r>
        <w:rPr>
          <w:rFonts w:hint="eastAsia" w:ascii="仿宋" w:hAnsi="仿宋" w:eastAsia="仿宋"/>
          <w:sz w:val="28"/>
          <w:szCs w:val="28"/>
        </w:rPr>
        <w:t>成立日期：20</w:t>
      </w:r>
      <w:r>
        <w:rPr>
          <w:rFonts w:hint="eastAsia" w:ascii="仿宋" w:hAnsi="仿宋"/>
          <w:sz w:val="28"/>
          <w:szCs w:val="28"/>
          <w:lang w:val="en-US" w:eastAsia="zh-CN"/>
        </w:rPr>
        <w:t>09</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sz w:val="28"/>
          <w:szCs w:val="28"/>
          <w:lang w:val="en-US" w:eastAsia="zh-CN"/>
        </w:rPr>
        <w:t>0</w:t>
      </w:r>
      <w:r>
        <w:rPr>
          <w:rFonts w:hint="eastAsia" w:ascii="仿宋" w:hAnsi="仿宋" w:eastAsia="仿宋"/>
          <w:sz w:val="28"/>
          <w:szCs w:val="28"/>
        </w:rPr>
        <w:t>月</w:t>
      </w:r>
      <w:r>
        <w:rPr>
          <w:rFonts w:hint="eastAsia" w:ascii="仿宋" w:hAnsi="仿宋"/>
          <w:sz w:val="28"/>
          <w:szCs w:val="28"/>
          <w:lang w:val="en-US" w:eastAsia="zh-CN"/>
        </w:rPr>
        <w:t>23</w:t>
      </w:r>
      <w:r>
        <w:rPr>
          <w:rFonts w:hint="eastAsia" w:ascii="仿宋" w:hAnsi="仿宋" w:eastAsia="仿宋"/>
          <w:sz w:val="28"/>
          <w:szCs w:val="28"/>
        </w:rPr>
        <w:t>日</w:t>
      </w:r>
      <w:r>
        <w:rPr>
          <w:rFonts w:ascii="仿宋" w:hAnsi="仿宋" w:eastAsia="仿宋"/>
          <w:sz w:val="28"/>
          <w:szCs w:val="28"/>
        </w:rPr>
        <w:t xml:space="preserve">   </w:t>
      </w:r>
    </w:p>
    <w:p>
      <w:pPr>
        <w:ind w:left="1960" w:leftChars="200" w:hanging="1400" w:hangingChars="500"/>
        <w:rPr>
          <w:rFonts w:ascii="仿宋" w:hAnsi="仿宋" w:eastAsia="仿宋"/>
          <w:sz w:val="28"/>
          <w:szCs w:val="28"/>
        </w:rPr>
      </w:pPr>
      <w:r>
        <w:rPr>
          <w:rFonts w:hint="eastAsia" w:ascii="仿宋" w:hAnsi="仿宋" w:eastAsia="仿宋"/>
          <w:sz w:val="28"/>
          <w:szCs w:val="28"/>
        </w:rPr>
        <w:t>住</w:t>
      </w:r>
      <w:r>
        <w:rPr>
          <w:rFonts w:ascii="仿宋" w:hAnsi="仿宋" w:eastAsia="仿宋"/>
          <w:sz w:val="28"/>
          <w:szCs w:val="28"/>
        </w:rPr>
        <w:t xml:space="preserve"> </w:t>
      </w:r>
      <w:r>
        <w:rPr>
          <w:rFonts w:hint="eastAsia" w:ascii="仿宋" w:hAnsi="仿宋"/>
          <w:sz w:val="28"/>
          <w:szCs w:val="28"/>
          <w:lang w:val="en-US" w:eastAsia="zh-CN"/>
        </w:rPr>
        <w:t xml:space="preserve">   </w:t>
      </w:r>
      <w:r>
        <w:rPr>
          <w:rFonts w:hint="eastAsia" w:ascii="仿宋" w:hAnsi="仿宋" w:eastAsia="仿宋"/>
          <w:sz w:val="28"/>
          <w:szCs w:val="28"/>
        </w:rPr>
        <w:t>所：</w:t>
      </w:r>
      <w:r>
        <w:rPr>
          <w:rFonts w:hint="eastAsia" w:ascii="仿宋" w:hAnsi="仿宋" w:eastAsia="仿宋"/>
          <w:sz w:val="28"/>
          <w:szCs w:val="28"/>
          <w:highlight w:val="none"/>
        </w:rPr>
        <w:t>淄博</w:t>
      </w:r>
      <w:r>
        <w:rPr>
          <w:rFonts w:hint="eastAsia" w:ascii="仿宋" w:hAnsi="仿宋"/>
          <w:sz w:val="28"/>
          <w:szCs w:val="28"/>
          <w:highlight w:val="none"/>
          <w:lang w:eastAsia="zh-CN"/>
        </w:rPr>
        <w:t>市淄川区立交桥东</w:t>
      </w:r>
      <w:r>
        <w:rPr>
          <w:rFonts w:hint="eastAsia" w:ascii="仿宋" w:hAnsi="仿宋"/>
          <w:sz w:val="28"/>
          <w:szCs w:val="28"/>
          <w:highlight w:val="none"/>
          <w:lang w:val="en-US" w:eastAsia="zh-CN"/>
        </w:rPr>
        <w:t>200米路南</w:t>
      </w:r>
      <w:r>
        <w:rPr>
          <w:rFonts w:ascii="仿宋" w:hAnsi="仿宋" w:eastAsia="仿宋"/>
          <w:sz w:val="28"/>
          <w:szCs w:val="28"/>
        </w:rPr>
        <w:t xml:space="preserve">                                                                           </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邮政编码：25</w:t>
      </w:r>
      <w:r>
        <w:rPr>
          <w:rFonts w:ascii="仿宋" w:hAnsi="仿宋" w:eastAsia="仿宋"/>
          <w:sz w:val="28"/>
          <w:szCs w:val="28"/>
        </w:rPr>
        <w:t>5</w:t>
      </w:r>
      <w:r>
        <w:rPr>
          <w:rFonts w:hint="eastAsia" w:ascii="仿宋" w:hAnsi="仿宋"/>
          <w:sz w:val="28"/>
          <w:szCs w:val="28"/>
          <w:lang w:val="en-US" w:eastAsia="zh-CN"/>
        </w:rPr>
        <w:t>100</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公司电话：</w:t>
      </w:r>
      <w:r>
        <w:rPr>
          <w:rFonts w:hint="eastAsia" w:ascii="仿宋" w:hAnsi="仿宋" w:eastAsia="仿宋"/>
          <w:sz w:val="28"/>
          <w:szCs w:val="28"/>
          <w:lang w:val="en-US" w:eastAsia="zh-CN"/>
        </w:rPr>
        <w:t>0533-</w:t>
      </w:r>
      <w:r>
        <w:rPr>
          <w:rFonts w:hint="eastAsia" w:ascii="仿宋" w:hAnsi="仿宋"/>
          <w:sz w:val="28"/>
          <w:szCs w:val="28"/>
          <w:lang w:val="en-US" w:eastAsia="zh-CN"/>
        </w:rPr>
        <w:t>5611177</w:t>
      </w:r>
    </w:p>
    <w:p>
      <w:pPr>
        <w:spacing w:line="360" w:lineRule="auto"/>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电子信箱：</w:t>
      </w:r>
      <w:r>
        <w:rPr>
          <w:rFonts w:hint="eastAsia" w:ascii="仿宋" w:hAnsi="仿宋" w:cs="Times New Roman"/>
          <w:sz w:val="28"/>
          <w:szCs w:val="28"/>
          <w:lang w:val="en-US" w:eastAsia="zh-CN"/>
        </w:rPr>
        <w:t>1838352685@qq.com</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信息披露事务负责人：</w:t>
      </w:r>
      <w:r>
        <w:rPr>
          <w:rFonts w:hint="eastAsia" w:ascii="仿宋" w:hAnsi="仿宋"/>
          <w:sz w:val="28"/>
          <w:szCs w:val="28"/>
          <w:highlight w:val="none"/>
          <w:lang w:eastAsia="zh-CN"/>
        </w:rPr>
        <w:t>袁婷</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所属行业：</w:t>
      </w:r>
      <w:r>
        <w:rPr>
          <w:rFonts w:hint="eastAsia" w:ascii="仿宋" w:hAnsi="仿宋"/>
          <w:sz w:val="28"/>
          <w:szCs w:val="28"/>
          <w:lang w:eastAsia="zh-CN"/>
        </w:rPr>
        <w:t>运输业</w:t>
      </w:r>
    </w:p>
    <w:p>
      <w:pPr>
        <w:spacing w:line="360" w:lineRule="auto"/>
        <w:ind w:firstLine="560" w:firstLineChars="200"/>
        <w:rPr>
          <w:rFonts w:hint="eastAsia" w:ascii="仿宋" w:hAnsi="仿宋" w:cs="仿宋"/>
          <w:sz w:val="28"/>
          <w:szCs w:val="28"/>
          <w:lang w:val="en-US" w:eastAsia="zh-CN"/>
        </w:rPr>
      </w:pPr>
      <w:r>
        <w:rPr>
          <w:rFonts w:hint="eastAsia" w:ascii="仿宋" w:hAnsi="仿宋" w:eastAsia="仿宋"/>
          <w:sz w:val="28"/>
          <w:szCs w:val="28"/>
        </w:rPr>
        <w:t>经营范围：</w:t>
      </w:r>
      <w:r>
        <w:rPr>
          <w:rFonts w:hint="eastAsia" w:ascii="仿宋" w:hAnsi="仿宋"/>
          <w:sz w:val="28"/>
          <w:szCs w:val="28"/>
          <w:lang w:eastAsia="zh-CN"/>
        </w:rPr>
        <w:t>普通货运</w:t>
      </w:r>
      <w:r>
        <w:rPr>
          <w:rFonts w:hint="eastAsia" w:ascii="仿宋" w:hAnsi="仿宋"/>
          <w:sz w:val="28"/>
          <w:szCs w:val="28"/>
          <w:lang w:val="en-US" w:eastAsia="zh-CN"/>
        </w:rPr>
        <w:t>；货物专用运输（集装箱、冷藏保鲜、罐式）；建筑材料、石灰、石料批发，零售。</w:t>
      </w:r>
      <w:r>
        <w:rPr>
          <w:rFonts w:hint="eastAsia" w:ascii="仿宋" w:hAnsi="仿宋" w:cs="仿宋"/>
          <w:sz w:val="28"/>
          <w:szCs w:val="28"/>
          <w:lang w:val="en-US" w:eastAsia="zh-CN"/>
        </w:rPr>
        <w:t>（依法须经批准的项目，经相关部门批准后方可开展经营活动，具体经营项目以审批结果为准）</w:t>
      </w:r>
    </w:p>
    <w:p>
      <w:pPr>
        <w:tabs>
          <w:tab w:val="left" w:pos="1644"/>
        </w:tabs>
        <w:spacing w:line="360" w:lineRule="auto"/>
        <w:ind w:firstLine="562" w:firstLineChars="200"/>
        <w:rPr>
          <w:rFonts w:ascii="仿宋" w:hAnsi="仿宋" w:cs="仿宋"/>
          <w:b/>
          <w:sz w:val="28"/>
          <w:szCs w:val="28"/>
        </w:rPr>
      </w:pPr>
      <w:r>
        <w:rPr>
          <w:rFonts w:hint="eastAsia" w:ascii="仿宋" w:hAnsi="仿宋" w:cs="仿宋"/>
          <w:b/>
          <w:sz w:val="28"/>
          <w:szCs w:val="28"/>
        </w:rPr>
        <w:t>2、主要产品：</w:t>
      </w:r>
    </w:p>
    <w:p>
      <w:pPr>
        <w:keepNext w:val="0"/>
        <w:keepLines w:val="0"/>
        <w:pageBreakBefore w:val="0"/>
        <w:widowControl/>
        <w:kinsoku/>
        <w:wordWrap/>
        <w:overflowPunct/>
        <w:topLinePunct w:val="0"/>
        <w:autoSpaceDE/>
        <w:autoSpaceDN/>
        <w:bidi w:val="0"/>
        <w:adjustRightInd/>
        <w:snapToGrid/>
        <w:spacing w:line="360" w:lineRule="auto"/>
        <w:ind w:left="0" w:firstLine="0"/>
        <w:jc w:val="left"/>
        <w:textAlignment w:val="auto"/>
        <w:rPr>
          <w:rFonts w:hint="eastAsia" w:ascii="仿宋" w:hAnsi="仿宋" w:eastAsia="仿宋"/>
          <w:sz w:val="28"/>
          <w:szCs w:val="28"/>
          <w:lang w:val="en-US" w:eastAsia="zh-CN"/>
        </w:rPr>
      </w:pPr>
      <w:r>
        <w:rPr>
          <w:rFonts w:hint="eastAsia" w:ascii="仿宋" w:hAnsi="仿宋" w:cs="仿宋"/>
          <w:sz w:val="28"/>
          <w:szCs w:val="28"/>
          <w:lang w:val="en-US" w:eastAsia="zh-CN"/>
        </w:rPr>
        <w:t xml:space="preserve">   公司的主要服务是普通货物道路运输，货物专用运输等。</w:t>
      </w:r>
    </w:p>
    <w:p>
      <w:pPr>
        <w:ind w:firstLine="562" w:firstLineChars="200"/>
        <w:rPr>
          <w:rFonts w:ascii="仿宋" w:hAnsi="仿宋" w:cs="仿宋"/>
          <w:snapToGrid w:val="0"/>
          <w:szCs w:val="28"/>
        </w:rPr>
      </w:pPr>
      <w:r>
        <w:rPr>
          <w:rFonts w:hint="eastAsia" w:ascii="仿宋" w:hAnsi="仿宋" w:cs="仿宋"/>
          <w:b/>
          <w:bCs/>
          <w:szCs w:val="28"/>
        </w:rPr>
        <w:t>3、公司简介：</w:t>
      </w:r>
    </w:p>
    <w:p>
      <w:pPr>
        <w:spacing w:line="360" w:lineRule="auto"/>
        <w:ind w:firstLine="548" w:firstLineChars="196"/>
        <w:jc w:val="left"/>
        <w:rPr>
          <w:rFonts w:hint="eastAsia" w:ascii="仿宋" w:hAnsi="仿宋" w:eastAsia="仿宋" w:cs="仿宋"/>
          <w:kern w:val="0"/>
          <w:sz w:val="28"/>
          <w:szCs w:val="28"/>
        </w:rPr>
      </w:pPr>
      <w:r>
        <w:rPr>
          <w:rFonts w:hint="eastAsia" w:ascii="仿宋" w:hAnsi="仿宋" w:cs="仿宋"/>
          <w:kern w:val="0"/>
          <w:sz w:val="28"/>
          <w:szCs w:val="28"/>
          <w:lang w:eastAsia="zh-CN"/>
        </w:rPr>
        <w:t>淄博锦茂运输股份有限公司</w:t>
      </w:r>
      <w:r>
        <w:rPr>
          <w:rFonts w:hint="eastAsia" w:ascii="仿宋" w:hAnsi="仿宋" w:eastAsia="仿宋" w:cs="仿宋"/>
          <w:kern w:val="0"/>
          <w:sz w:val="28"/>
          <w:szCs w:val="28"/>
        </w:rPr>
        <w:t>成立于2009年10月，注册资金3</w:t>
      </w:r>
      <w:r>
        <w:rPr>
          <w:rFonts w:hint="eastAsia" w:ascii="仿宋" w:hAnsi="仿宋" w:cs="仿宋"/>
          <w:kern w:val="0"/>
          <w:sz w:val="28"/>
          <w:szCs w:val="28"/>
          <w:lang w:val="en-US" w:eastAsia="zh-CN"/>
        </w:rPr>
        <w:t>20</w:t>
      </w:r>
      <w:r>
        <w:rPr>
          <w:rFonts w:hint="eastAsia" w:ascii="仿宋" w:hAnsi="仿宋" w:eastAsia="仿宋" w:cs="仿宋"/>
          <w:kern w:val="0"/>
          <w:sz w:val="28"/>
          <w:szCs w:val="28"/>
        </w:rPr>
        <w:t>万元，是一个综合型货运，经营规模较大的公司，员工人数40人，车辆55辆，位于</w:t>
      </w:r>
      <w:r>
        <w:rPr>
          <w:rFonts w:hint="eastAsia" w:ascii="仿宋" w:hAnsi="仿宋" w:eastAsia="仿宋" w:cs="仿宋"/>
          <w:sz w:val="28"/>
          <w:szCs w:val="28"/>
        </w:rPr>
        <w:t>淄川区立交桥东200米路南</w:t>
      </w:r>
      <w:r>
        <w:rPr>
          <w:rFonts w:hint="eastAsia" w:ascii="仿宋" w:hAnsi="仿宋" w:eastAsia="仿宋" w:cs="仿宋"/>
          <w:kern w:val="0"/>
          <w:sz w:val="28"/>
          <w:szCs w:val="28"/>
        </w:rPr>
        <w:t>。并由中国人寿车险统一承保，并在其公司设点便于企业车辆保险的管理，并能得到及时的理赔。</w:t>
      </w:r>
    </w:p>
    <w:p>
      <w:pPr>
        <w:ind w:firstLine="560" w:firstLineChars="200"/>
        <w:rPr>
          <w:rFonts w:hint="eastAsia" w:ascii="仿宋" w:hAnsi="仿宋" w:eastAsia="仿宋" w:cs="仿宋"/>
          <w:sz w:val="28"/>
          <w:szCs w:val="28"/>
        </w:rPr>
      </w:pPr>
      <w:r>
        <w:rPr>
          <w:rFonts w:hint="eastAsia" w:ascii="仿宋" w:hAnsi="仿宋" w:cs="仿宋"/>
          <w:kern w:val="0"/>
          <w:sz w:val="28"/>
          <w:szCs w:val="28"/>
          <w:lang w:eastAsia="zh-CN"/>
        </w:rPr>
        <w:t>淄博锦茂运输股份有限公司</w:t>
      </w:r>
      <w:r>
        <w:rPr>
          <w:rFonts w:hint="eastAsia" w:ascii="仿宋" w:hAnsi="仿宋" w:eastAsia="仿宋" w:cs="仿宋"/>
          <w:kern w:val="0"/>
          <w:sz w:val="28"/>
          <w:szCs w:val="28"/>
        </w:rPr>
        <w:t>主要</w:t>
      </w:r>
      <w:r>
        <w:rPr>
          <w:rFonts w:hint="eastAsia" w:ascii="仿宋" w:hAnsi="仿宋" w:cs="仿宋"/>
          <w:kern w:val="0"/>
          <w:sz w:val="28"/>
          <w:szCs w:val="28"/>
          <w:lang w:eastAsia="zh-CN"/>
        </w:rPr>
        <w:t>从事</w:t>
      </w:r>
      <w:r>
        <w:rPr>
          <w:rFonts w:hint="eastAsia" w:ascii="仿宋" w:hAnsi="仿宋" w:eastAsia="仿宋" w:cs="仿宋"/>
          <w:sz w:val="28"/>
          <w:szCs w:val="28"/>
        </w:rPr>
        <w:t>普通货运；货物专用运输（集装箱、冷藏保鲜、罐式</w:t>
      </w:r>
      <w:r>
        <w:rPr>
          <w:rFonts w:hint="eastAsia" w:ascii="仿宋" w:hAnsi="仿宋" w:cs="仿宋"/>
          <w:sz w:val="28"/>
          <w:szCs w:val="28"/>
          <w:lang w:eastAsia="zh-CN"/>
        </w:rPr>
        <w:t>）；</w:t>
      </w:r>
      <w:r>
        <w:rPr>
          <w:rFonts w:hint="eastAsia" w:ascii="仿宋" w:hAnsi="仿宋" w:eastAsia="仿宋" w:cs="仿宋"/>
          <w:sz w:val="28"/>
          <w:szCs w:val="28"/>
        </w:rPr>
        <w:t>建筑材料、石灰、石料批发，零售。</w:t>
      </w:r>
    </w:p>
    <w:p>
      <w:pPr>
        <w:ind w:firstLine="560" w:firstLineChars="200"/>
        <w:rPr>
          <w:rFonts w:hint="eastAsia" w:ascii="仿宋" w:hAnsi="仿宋" w:eastAsia="仿宋"/>
          <w:sz w:val="28"/>
          <w:szCs w:val="28"/>
          <w:lang w:val="en-US" w:eastAsia="zh-CN"/>
        </w:rPr>
      </w:pPr>
      <w:r>
        <w:rPr>
          <w:rFonts w:hint="eastAsia" w:ascii="仿宋" w:hAnsi="仿宋" w:cs="仿宋"/>
          <w:color w:val="222222"/>
          <w:sz w:val="28"/>
          <w:szCs w:val="28"/>
          <w:shd w:val="clear" w:color="auto" w:fill="FFFFFF"/>
          <w:lang w:eastAsia="zh-CN"/>
        </w:rPr>
        <w:t>淄博锦茂运输股份有限公司</w:t>
      </w:r>
      <w:r>
        <w:rPr>
          <w:rFonts w:hint="eastAsia" w:ascii="仿宋" w:hAnsi="仿宋" w:eastAsia="仿宋" w:cs="仿宋"/>
          <w:color w:val="222222"/>
          <w:sz w:val="28"/>
          <w:szCs w:val="28"/>
          <w:shd w:val="clear" w:color="auto" w:fill="FFFFFF"/>
        </w:rPr>
        <w:t>一直以“为国家创造财富、为客户创造价值、为员工创造幸福”的使命为目的，以发展平安运输为己任，以科学管理为手段，以高素质人才队伍为基石，营造 “快乐工作，幸福生活”的</w:t>
      </w:r>
      <w:r>
        <w:rPr>
          <w:rFonts w:hint="eastAsia" w:ascii="仿宋" w:hAnsi="仿宋" w:eastAsia="仿宋" w:cs="仿宋"/>
          <w:color w:val="000000"/>
          <w:sz w:val="28"/>
          <w:szCs w:val="28"/>
          <w:u w:val="single"/>
        </w:rPr>
        <w:t>文化</w:t>
      </w:r>
      <w:r>
        <w:rPr>
          <w:rFonts w:hint="eastAsia" w:ascii="仿宋" w:hAnsi="仿宋" w:eastAsia="仿宋" w:cs="仿宋"/>
          <w:color w:val="222222"/>
          <w:sz w:val="28"/>
          <w:szCs w:val="28"/>
          <w:shd w:val="clear" w:color="auto" w:fill="FFFFFF"/>
        </w:rPr>
        <w:t>氛围。公司愿与社会各届同仁“价值共创、价值共享”，携手打造</w:t>
      </w:r>
      <w:r>
        <w:rPr>
          <w:rFonts w:hint="eastAsia" w:ascii="仿宋" w:hAnsi="仿宋" w:cs="仿宋"/>
          <w:color w:val="222222"/>
          <w:sz w:val="28"/>
          <w:szCs w:val="28"/>
          <w:shd w:val="clear" w:color="auto" w:fill="FFFFFF"/>
          <w:lang w:eastAsia="zh-CN"/>
        </w:rPr>
        <w:t>淄博锦茂运输股份有限公司</w:t>
      </w:r>
      <w:r>
        <w:rPr>
          <w:rFonts w:hint="eastAsia" w:ascii="仿宋" w:hAnsi="仿宋" w:eastAsia="仿宋" w:cs="仿宋"/>
          <w:color w:val="222222"/>
          <w:sz w:val="28"/>
          <w:szCs w:val="28"/>
          <w:shd w:val="clear" w:color="auto" w:fill="FFFFFF"/>
        </w:rPr>
        <w:t>的辉煌明天!</w:t>
      </w:r>
    </w:p>
    <w:p>
      <w:pPr>
        <w:pStyle w:val="4"/>
        <w:ind w:firstLine="0" w:firstLineChars="0"/>
        <w:rPr>
          <w:rFonts w:ascii="仿宋" w:hAnsi="仿宋" w:cs="仿宋"/>
          <w:sz w:val="32"/>
        </w:rPr>
      </w:pPr>
      <w:bookmarkStart w:id="21" w:name="_Toc19777"/>
      <w:r>
        <w:rPr>
          <w:rFonts w:hint="eastAsia" w:ascii="仿宋" w:hAnsi="仿宋" w:cs="仿宋"/>
          <w:sz w:val="32"/>
          <w:lang w:eastAsia="zh-CN"/>
        </w:rPr>
        <w:t>二</w:t>
      </w:r>
      <w:r>
        <w:rPr>
          <w:rFonts w:hint="eastAsia" w:ascii="仿宋" w:hAnsi="仿宋" w:cs="仿宋"/>
          <w:sz w:val="32"/>
        </w:rPr>
        <w:t>、公司目前股权结构</w:t>
      </w:r>
      <w:r>
        <w:rPr>
          <w:rFonts w:hint="eastAsia" w:ascii="仿宋" w:hAnsi="仿宋" w:cs="仿宋"/>
          <w:sz w:val="32"/>
          <w:lang w:eastAsia="zh-CN"/>
        </w:rPr>
        <w:t>及</w:t>
      </w:r>
      <w:r>
        <w:rPr>
          <w:rFonts w:hint="eastAsia" w:ascii="仿宋" w:hAnsi="仿宋" w:cs="仿宋"/>
          <w:sz w:val="32"/>
        </w:rPr>
        <w:t>股东情况</w:t>
      </w:r>
      <w:bookmarkEnd w:id="21"/>
    </w:p>
    <w:p>
      <w:pPr>
        <w:adjustRightInd w:val="0"/>
        <w:snapToGrid w:val="0"/>
        <w:spacing w:line="360" w:lineRule="auto"/>
        <w:ind w:firstLine="562" w:firstLineChars="200"/>
        <w:jc w:val="left"/>
        <w:rPr>
          <w:rFonts w:ascii="仿宋" w:hAnsi="仿宋" w:cs="仿宋"/>
          <w:b/>
          <w:bCs/>
          <w:szCs w:val="28"/>
        </w:rPr>
      </w:pPr>
      <w:r>
        <w:rPr>
          <w:rFonts w:hint="eastAsia" w:ascii="仿宋" w:hAnsi="仿宋" w:cs="仿宋"/>
          <w:b/>
          <w:bCs/>
          <w:szCs w:val="28"/>
        </w:rPr>
        <w:t>（一）目前股权结构图</w:t>
      </w:r>
      <w:r>
        <w:rPr>
          <w:sz w:val="28"/>
        </w:rPr>
        <w:pict>
          <v:roundrect id="_x0000_s1186" o:spid="_x0000_s1186" o:spt="2" style="position:absolute;left:0pt;margin-left:275pt;margin-top:20.85pt;height:62.25pt;width:114.65pt;z-index:251663360;mso-width-relative:page;mso-height-relative:page;" fillcolor="#FFC000" filled="t" stroked="t" coordsize="21600,21600" arcsize="0.166666666666667">
            <v:path/>
            <v:fill on="t" color2="#FFFFFF" focussize="0,0"/>
            <v:stroke color="#000000"/>
            <v:imagedata o:title=""/>
            <o:lock v:ext="edit" aspectratio="f"/>
            <v:textbox>
              <w:txbxContent>
                <w:p>
                  <w:pPr>
                    <w:ind w:firstLine="482" w:firstLineChars="200"/>
                    <w:jc w:val="both"/>
                    <w:rPr>
                      <w:rFonts w:hint="default"/>
                      <w:b/>
                      <w:bCs/>
                      <w:sz w:val="24"/>
                      <w:szCs w:val="24"/>
                      <w:lang w:val="en-US" w:eastAsia="zh-CN"/>
                    </w:rPr>
                  </w:pPr>
                  <w:r>
                    <w:rPr>
                      <w:rFonts w:hint="eastAsia"/>
                      <w:b/>
                      <w:bCs/>
                      <w:sz w:val="24"/>
                      <w:szCs w:val="24"/>
                      <w:lang w:val="en-US" w:eastAsia="zh-CN"/>
                    </w:rPr>
                    <w:t>黄燕 20万</w:t>
                  </w:r>
                </w:p>
                <w:p>
                  <w:pPr>
                    <w:ind w:firstLine="482" w:firstLineChars="200"/>
                    <w:jc w:val="both"/>
                    <w:rPr>
                      <w:rFonts w:hint="eastAsia"/>
                      <w:b/>
                      <w:bCs/>
                      <w:sz w:val="24"/>
                      <w:szCs w:val="24"/>
                      <w:lang w:eastAsia="zh-CN"/>
                    </w:rPr>
                  </w:pPr>
                </w:p>
                <w:p>
                  <w:pPr>
                    <w:jc w:val="center"/>
                    <w:rPr>
                      <w:rFonts w:hint="default" w:eastAsia="仿宋"/>
                      <w:b/>
                      <w:bCs/>
                      <w:sz w:val="24"/>
                      <w:szCs w:val="24"/>
                      <w:lang w:val="en-US" w:eastAsia="zh-CN"/>
                    </w:rPr>
                  </w:pPr>
                  <w:r>
                    <w:rPr>
                      <w:rFonts w:hint="eastAsia"/>
                      <w:b/>
                      <w:bCs/>
                      <w:sz w:val="24"/>
                      <w:szCs w:val="24"/>
                      <w:lang w:val="en-US" w:eastAsia="zh-CN"/>
                    </w:rPr>
                    <w:t>6.25%</w:t>
                  </w:r>
                </w:p>
              </w:txbxContent>
            </v:textbox>
          </v:roundrect>
        </w:pict>
      </w:r>
      <w:r>
        <w:rPr>
          <w:sz w:val="28"/>
        </w:rPr>
        <w:pict>
          <v:roundrect id="_x0000_s1185" o:spid="_x0000_s1185" o:spt="2" style="position:absolute;left:0pt;margin-left:28.2pt;margin-top:20.1pt;height:62.25pt;width:117.65pt;z-index:251662336;mso-width-relative:page;mso-height-relative:page;" fillcolor="#FFC000" filled="t" stroked="t" coordsize="21600,21600" arcsize="0.166666666666667">
            <v:path/>
            <v:fill on="t" color2="#FFFFFF" focussize="0,0"/>
            <v:stroke color="#000000"/>
            <v:imagedata o:title=""/>
            <o:lock v:ext="edit" aspectratio="f"/>
            <v:textbox>
              <w:txbxContent>
                <w:p>
                  <w:pPr>
                    <w:ind w:firstLine="241" w:firstLineChars="100"/>
                    <w:jc w:val="both"/>
                    <w:rPr>
                      <w:rFonts w:hint="default"/>
                      <w:b/>
                      <w:bCs/>
                      <w:sz w:val="24"/>
                      <w:szCs w:val="24"/>
                      <w:lang w:val="en-US" w:eastAsia="zh-CN"/>
                    </w:rPr>
                  </w:pPr>
                  <w:r>
                    <w:rPr>
                      <w:rFonts w:hint="eastAsia"/>
                      <w:b/>
                      <w:bCs/>
                      <w:sz w:val="24"/>
                      <w:szCs w:val="24"/>
                      <w:lang w:val="en-US" w:eastAsia="zh-CN"/>
                    </w:rPr>
                    <w:t>张涛 300万</w:t>
                  </w:r>
                </w:p>
                <w:p>
                  <w:pPr>
                    <w:ind w:firstLine="241" w:firstLineChars="100"/>
                    <w:jc w:val="both"/>
                    <w:rPr>
                      <w:rFonts w:hint="eastAsia"/>
                      <w:b/>
                      <w:bCs/>
                      <w:sz w:val="24"/>
                      <w:szCs w:val="24"/>
                      <w:lang w:eastAsia="zh-CN"/>
                    </w:rPr>
                  </w:pPr>
                </w:p>
                <w:p>
                  <w:pPr>
                    <w:jc w:val="center"/>
                    <w:rPr>
                      <w:rFonts w:hint="default" w:eastAsia="仿宋"/>
                      <w:b/>
                      <w:bCs/>
                      <w:sz w:val="24"/>
                      <w:szCs w:val="24"/>
                      <w:lang w:val="en-US" w:eastAsia="zh-CN"/>
                    </w:rPr>
                  </w:pPr>
                  <w:r>
                    <w:rPr>
                      <w:rFonts w:hint="eastAsia"/>
                      <w:b/>
                      <w:bCs/>
                      <w:sz w:val="24"/>
                      <w:szCs w:val="24"/>
                      <w:lang w:val="en-US" w:eastAsia="zh-CN"/>
                    </w:rPr>
                    <w:t>93.75%</w:t>
                  </w:r>
                </w:p>
              </w:txbxContent>
            </v:textbox>
          </v:roundrect>
        </w:pict>
      </w:r>
    </w:p>
    <w:p>
      <w:pPr>
        <w:adjustRightInd w:val="0"/>
        <w:snapToGrid w:val="0"/>
        <w:spacing w:line="360" w:lineRule="auto"/>
        <w:ind w:firstLine="562" w:firstLineChars="200"/>
        <w:jc w:val="left"/>
        <w:rPr>
          <w:rFonts w:ascii="仿宋" w:hAnsi="仿宋" w:cs="仿宋"/>
          <w:b/>
          <w:bCs/>
          <w:szCs w:val="28"/>
        </w:rPr>
      </w:pPr>
    </w:p>
    <w:p>
      <w:pPr>
        <w:adjustRightInd w:val="0"/>
        <w:snapToGrid w:val="0"/>
        <w:spacing w:line="360" w:lineRule="auto"/>
        <w:ind w:firstLine="562" w:firstLineChars="200"/>
        <w:jc w:val="left"/>
        <w:rPr>
          <w:rFonts w:ascii="仿宋" w:hAnsi="仿宋" w:cs="仿宋"/>
          <w:b/>
          <w:bCs/>
          <w:szCs w:val="28"/>
        </w:rPr>
      </w:pPr>
    </w:p>
    <w:p>
      <w:pPr>
        <w:adjustRightInd w:val="0"/>
        <w:snapToGrid w:val="0"/>
        <w:spacing w:line="360" w:lineRule="auto"/>
        <w:ind w:firstLine="560" w:firstLineChars="200"/>
        <w:jc w:val="left"/>
        <w:rPr>
          <w:rFonts w:ascii="仿宋" w:hAnsi="仿宋" w:cs="仿宋"/>
          <w:b/>
          <w:bCs/>
          <w:szCs w:val="28"/>
        </w:rPr>
      </w:pPr>
      <w:r>
        <w:rPr>
          <w:sz w:val="28"/>
        </w:rPr>
        <w:pict>
          <v:line id="_x0000_s1190" o:spid="_x0000_s1190" o:spt="20" style="position:absolute;left:0pt;margin-left:347.7pt;margin-top:3.05pt;height:33pt;width:0.05pt;z-index:251667456;mso-width-relative:page;mso-height-relative:page;" fillcolor="#FFFFFF" filled="t" stroked="t" coordsize="21600,21600">
            <v:path arrowok="t"/>
            <v:fill on="t" color2="#FFFFFF" focussize="0,0"/>
            <v:stroke weight="2.25pt" color="#000000"/>
            <v:imagedata o:title=""/>
            <o:lock v:ext="edit" aspectratio="f"/>
          </v:line>
        </w:pict>
      </w:r>
      <w:r>
        <w:rPr>
          <w:sz w:val="28"/>
        </w:rPr>
        <w:pict>
          <v:line id="_x0000_s1189" o:spid="_x0000_s1189" o:spt="20" style="position:absolute;left:0pt;margin-left:70.95pt;margin-top:0.8pt;height:33pt;width:0.05pt;z-index:251666432;mso-width-relative:page;mso-height-relative:page;" fillcolor="#FFFFFF" filled="t" stroked="t" coordsize="21600,21600">
            <v:path arrowok="t"/>
            <v:fill on="t" color2="#FFFFFF" focussize="0,0"/>
            <v:stroke weight="2.25pt" color="#000000"/>
            <v:imagedata o:title=""/>
            <o:lock v:ext="edit" aspectratio="f"/>
          </v:line>
        </w:pict>
      </w:r>
    </w:p>
    <w:p>
      <w:pPr>
        <w:adjustRightInd w:val="0"/>
        <w:snapToGrid w:val="0"/>
        <w:spacing w:line="360" w:lineRule="auto"/>
        <w:ind w:firstLine="560" w:firstLineChars="200"/>
        <w:jc w:val="left"/>
        <w:rPr>
          <w:rFonts w:ascii="仿宋" w:hAnsi="仿宋" w:cs="仿宋"/>
          <w:b/>
          <w:bCs/>
          <w:szCs w:val="28"/>
        </w:rPr>
      </w:pPr>
      <w:r>
        <w:rPr>
          <w:sz w:val="28"/>
        </w:rPr>
        <w:pict>
          <v:line id="_x0000_s1212" o:spid="_x0000_s1212" o:spt="20" style="position:absolute;left:0pt;margin-left:211.2pt;margin-top:7.3pt;height:33pt;width:0.05pt;z-index:251668480;mso-width-relative:page;mso-height-relative:page;" fillcolor="#FFFFFF" filled="t" stroked="t" coordsize="21600,21600">
            <v:path arrowok="t"/>
            <v:fill on="t" color2="#FFFFFF" focussize="0,0"/>
            <v:stroke weight="2.25pt" color="#000000"/>
            <v:imagedata o:title=""/>
            <o:lock v:ext="edit" aspectratio="f"/>
          </v:line>
        </w:pict>
      </w:r>
      <w:r>
        <w:rPr>
          <w:sz w:val="28"/>
        </w:rPr>
        <w:pict>
          <v:line id="_x0000_s1188" o:spid="_x0000_s1188" o:spt="20" style="position:absolute;left:0pt;margin-left:69.45pt;margin-top:7.3pt;height:0.05pt;width:279pt;z-index:251665408;mso-width-relative:page;mso-height-relative:page;" fillcolor="#FFFFFF" filled="t" stroked="t" coordsize="21600,21600">
            <v:path arrowok="t"/>
            <v:fill on="t" color2="#FFFFFF" focussize="0,0"/>
            <v:stroke weight="2.25pt" color="#000000"/>
            <v:imagedata o:title=""/>
            <o:lock v:ext="edit" aspectratio="f"/>
          </v:line>
        </w:pict>
      </w:r>
    </w:p>
    <w:p>
      <w:pPr>
        <w:adjustRightInd w:val="0"/>
        <w:snapToGrid w:val="0"/>
        <w:spacing w:line="360" w:lineRule="auto"/>
        <w:ind w:firstLine="560" w:firstLineChars="200"/>
        <w:rPr>
          <w:rFonts w:ascii="宋体" w:hAnsi="宋体"/>
          <w:sz w:val="24"/>
        </w:rPr>
      </w:pPr>
      <w:r>
        <w:rPr>
          <w:sz w:val="28"/>
        </w:rPr>
        <w:pict>
          <v:roundrect id="_x0000_s1187" o:spid="_x0000_s1187" o:spt="2" style="position:absolute;left:0pt;margin-left:74.7pt;margin-top:12.9pt;height:69.75pt;width:271.5pt;z-index:251664384;mso-width-relative:page;mso-height-relative:page;" fillcolor="#FFC000" filled="t" stroked="t" coordsize="21600,21600" arcsize="0.166666666666667">
            <v:path/>
            <v:fill on="t" color2="#FFFFFF" focussize="0,0"/>
            <v:stroke color="#000000"/>
            <v:imagedata o:title=""/>
            <o:lock v:ext="edit" aspectratio="f"/>
            <v:textbox>
              <w:txbxContent>
                <w:p>
                  <w:pPr>
                    <w:jc w:val="center"/>
                    <w:rPr>
                      <w:rFonts w:hint="default" w:eastAsia="仿宋"/>
                      <w:b/>
                      <w:bCs/>
                      <w:lang w:val="en-US" w:eastAsia="zh-CN"/>
                    </w:rPr>
                  </w:pPr>
                  <w:r>
                    <w:rPr>
                      <w:rFonts w:hint="eastAsia"/>
                      <w:b/>
                      <w:bCs/>
                      <w:lang w:val="en-US" w:eastAsia="zh-CN"/>
                    </w:rPr>
                    <w:t>淄博锦茂运输股份有限公司   320万  100%</w:t>
                  </w:r>
                </w:p>
              </w:txbxContent>
            </v:textbox>
          </v:roundrect>
        </w:pict>
      </w:r>
    </w:p>
    <w:p>
      <w:pPr>
        <w:adjustRightInd w:val="0"/>
        <w:snapToGrid w:val="0"/>
        <w:spacing w:line="360" w:lineRule="auto"/>
        <w:ind w:firstLine="562" w:firstLineChars="200"/>
        <w:rPr>
          <w:rFonts w:hint="eastAsia" w:ascii="仿宋" w:hAnsi="仿宋" w:cs="仿宋"/>
          <w:b/>
          <w:bCs/>
          <w:szCs w:val="28"/>
        </w:rPr>
      </w:pPr>
    </w:p>
    <w:p>
      <w:pPr>
        <w:adjustRightInd w:val="0"/>
        <w:snapToGrid w:val="0"/>
        <w:spacing w:line="360" w:lineRule="auto"/>
        <w:ind w:firstLine="562" w:firstLineChars="200"/>
        <w:rPr>
          <w:rFonts w:hint="eastAsia" w:ascii="仿宋" w:hAnsi="仿宋" w:cs="仿宋"/>
          <w:b/>
          <w:bCs/>
          <w:szCs w:val="28"/>
        </w:rPr>
      </w:pPr>
    </w:p>
    <w:p>
      <w:pPr>
        <w:adjustRightInd w:val="0"/>
        <w:snapToGrid w:val="0"/>
        <w:spacing w:line="360" w:lineRule="auto"/>
        <w:ind w:firstLine="562" w:firstLineChars="200"/>
        <w:rPr>
          <w:rFonts w:hint="eastAsia" w:ascii="仿宋" w:hAnsi="仿宋" w:cs="仿宋"/>
          <w:b/>
          <w:bCs/>
          <w:szCs w:val="28"/>
        </w:rPr>
      </w:pPr>
    </w:p>
    <w:p>
      <w:pPr>
        <w:adjustRightInd w:val="0"/>
        <w:snapToGrid w:val="0"/>
        <w:spacing w:line="360" w:lineRule="auto"/>
        <w:ind w:firstLine="562" w:firstLineChars="200"/>
        <w:rPr>
          <w:rFonts w:ascii="仿宋" w:hAnsi="仿宋" w:cs="仿宋"/>
          <w:szCs w:val="28"/>
        </w:rPr>
      </w:pPr>
      <w:r>
        <w:rPr>
          <w:rFonts w:hint="eastAsia" w:ascii="仿宋" w:hAnsi="仿宋" w:cs="仿宋"/>
          <w:b/>
          <w:bCs/>
          <w:szCs w:val="28"/>
        </w:rPr>
        <w:t>（二）公司控股股东、实际控制人情况</w:t>
      </w:r>
    </w:p>
    <w:p>
      <w:pPr>
        <w:spacing w:line="360" w:lineRule="auto"/>
        <w:ind w:firstLine="480"/>
        <w:rPr>
          <w:rFonts w:ascii="宋体" w:hAnsi="宋体" w:cs="宋体"/>
          <w:color w:val="000000"/>
        </w:rPr>
      </w:pPr>
      <w:bookmarkStart w:id="22" w:name="_Toc517203293"/>
      <w:r>
        <w:rPr>
          <w:rFonts w:hint="eastAsia" w:ascii="宋体" w:hAnsi="宋体" w:cs="宋体"/>
          <w:color w:val="000000"/>
        </w:rPr>
        <w:t>1、公司控股股东</w:t>
      </w:r>
    </w:p>
    <w:p>
      <w:pPr>
        <w:spacing w:line="360" w:lineRule="auto"/>
        <w:ind w:firstLine="480"/>
        <w:rPr>
          <w:rFonts w:hint="eastAsia" w:ascii="宋体" w:hAnsi="宋体" w:cs="宋体"/>
          <w:color w:val="000000"/>
        </w:rPr>
      </w:pPr>
      <w:r>
        <w:rPr>
          <w:rFonts w:hint="eastAsia" w:ascii="宋体" w:hAnsi="宋体" w:cs="宋体"/>
          <w:color w:val="000000"/>
        </w:rPr>
        <w:t>公司控股股东为</w:t>
      </w:r>
      <w:r>
        <w:rPr>
          <w:rFonts w:hint="eastAsia" w:ascii="宋体" w:hAnsi="宋体" w:cs="宋体"/>
          <w:color w:val="000000"/>
          <w:lang w:eastAsia="zh-CN"/>
        </w:rPr>
        <w:t>张涛</w:t>
      </w:r>
      <w:r>
        <w:rPr>
          <w:rFonts w:hint="eastAsia" w:ascii="宋体" w:hAnsi="宋体" w:cs="宋体"/>
          <w:color w:val="000000"/>
        </w:rPr>
        <w:t>，认定依据：</w:t>
      </w:r>
      <w:r>
        <w:rPr>
          <w:rFonts w:hint="eastAsia" w:ascii="宋体" w:hAnsi="宋体" w:cs="宋体"/>
          <w:color w:val="000000"/>
          <w:lang w:eastAsia="zh-CN"/>
        </w:rPr>
        <w:t>张涛</w:t>
      </w:r>
      <w:r>
        <w:rPr>
          <w:rFonts w:hint="eastAsia" w:ascii="宋体" w:hAnsi="宋体" w:cs="宋体"/>
          <w:color w:val="000000"/>
        </w:rPr>
        <w:t>出资额为</w:t>
      </w:r>
      <w:r>
        <w:rPr>
          <w:rFonts w:hint="eastAsia" w:ascii="宋体" w:hAnsi="宋体" w:cs="宋体"/>
          <w:color w:val="000000"/>
          <w:lang w:val="en-US" w:eastAsia="zh-CN"/>
        </w:rPr>
        <w:t>300</w:t>
      </w:r>
      <w:r>
        <w:rPr>
          <w:rFonts w:hint="eastAsia" w:ascii="宋体" w:hAnsi="宋体" w:cs="宋体"/>
          <w:color w:val="000000"/>
        </w:rPr>
        <w:t>万元，占公司注册资本的</w:t>
      </w:r>
      <w:r>
        <w:rPr>
          <w:rFonts w:hint="eastAsia" w:ascii="宋体" w:hAnsi="宋体" w:cs="宋体"/>
          <w:color w:val="000000"/>
          <w:lang w:val="en-US" w:eastAsia="zh-CN"/>
        </w:rPr>
        <w:t>93.75</w:t>
      </w:r>
      <w:r>
        <w:rPr>
          <w:rFonts w:hint="eastAsia" w:ascii="宋体" w:hAnsi="宋体" w:cs="宋体"/>
        </w:rPr>
        <w:t>%</w:t>
      </w:r>
      <w:r>
        <w:rPr>
          <w:rFonts w:hint="eastAsia" w:ascii="宋体" w:hAnsi="宋体" w:cs="宋体"/>
          <w:color w:val="000000"/>
        </w:rPr>
        <w:t>，其持股比例远高于其他单一股东，依其持有的出资额所享有的表决权足以对股东会的决议产生重大影响。</w:t>
      </w:r>
    </w:p>
    <w:p>
      <w:pPr>
        <w:spacing w:line="360" w:lineRule="auto"/>
        <w:ind w:firstLine="480"/>
        <w:rPr>
          <w:rFonts w:ascii="宋体" w:hAnsi="宋体" w:cs="宋体"/>
          <w:color w:val="000000"/>
        </w:rPr>
      </w:pPr>
      <w:r>
        <w:rPr>
          <w:rFonts w:hint="eastAsia" w:ascii="宋体" w:hAnsi="宋体" w:cs="宋体"/>
          <w:color w:val="000000"/>
        </w:rPr>
        <w:t>2、公司实际控制人</w:t>
      </w:r>
    </w:p>
    <w:p>
      <w:pPr>
        <w:spacing w:line="360" w:lineRule="auto"/>
        <w:ind w:firstLine="480"/>
        <w:rPr>
          <w:rFonts w:hint="eastAsia" w:ascii="宋体" w:hAnsi="宋体" w:cs="宋体"/>
          <w:color w:val="000000"/>
        </w:rPr>
      </w:pPr>
      <w:r>
        <w:rPr>
          <w:rFonts w:hint="eastAsia" w:ascii="宋体" w:hAnsi="宋体" w:cs="宋体"/>
          <w:color w:val="000000"/>
        </w:rPr>
        <w:t>公司股东</w:t>
      </w:r>
      <w:r>
        <w:rPr>
          <w:rFonts w:hint="eastAsia" w:ascii="宋体" w:hAnsi="宋体" w:cs="宋体"/>
          <w:color w:val="000000"/>
          <w:lang w:eastAsia="zh-CN"/>
        </w:rPr>
        <w:t>张涛</w:t>
      </w:r>
      <w:r>
        <w:rPr>
          <w:rFonts w:hint="eastAsia" w:ascii="宋体" w:hAnsi="宋体" w:cs="宋体"/>
          <w:color w:val="000000"/>
        </w:rPr>
        <w:t>为公司实际控制人，认定依据：</w:t>
      </w:r>
      <w:r>
        <w:rPr>
          <w:rFonts w:hint="eastAsia" w:ascii="宋体" w:hAnsi="宋体" w:cs="宋体"/>
          <w:color w:val="000000"/>
          <w:lang w:eastAsia="zh-CN"/>
        </w:rPr>
        <w:t>张涛</w:t>
      </w:r>
      <w:r>
        <w:rPr>
          <w:rFonts w:hint="eastAsia" w:ascii="宋体" w:hAnsi="宋体" w:cs="宋体"/>
          <w:color w:val="000000"/>
        </w:rPr>
        <w:t>出资额为</w:t>
      </w:r>
      <w:r>
        <w:rPr>
          <w:rFonts w:hint="eastAsia" w:ascii="宋体" w:hAnsi="宋体" w:cs="宋体"/>
          <w:color w:val="000000"/>
          <w:lang w:val="en-US" w:eastAsia="zh-CN"/>
        </w:rPr>
        <w:t>300</w:t>
      </w:r>
      <w:r>
        <w:rPr>
          <w:rFonts w:hint="eastAsia" w:ascii="宋体" w:hAnsi="宋体" w:cs="宋体"/>
          <w:color w:val="000000"/>
        </w:rPr>
        <w:t>万元，占公司注册资本的</w:t>
      </w:r>
      <w:r>
        <w:rPr>
          <w:rFonts w:hint="eastAsia" w:ascii="宋体" w:hAnsi="宋体" w:cs="宋体"/>
          <w:color w:val="000000"/>
          <w:lang w:val="en-US" w:eastAsia="zh-CN"/>
        </w:rPr>
        <w:t>93.75</w:t>
      </w:r>
      <w:r>
        <w:rPr>
          <w:rFonts w:hint="eastAsia" w:ascii="宋体" w:hAnsi="宋体" w:cs="宋体"/>
        </w:rPr>
        <w:t>%</w:t>
      </w:r>
      <w:r>
        <w:rPr>
          <w:rFonts w:hint="eastAsia" w:ascii="宋体" w:hAnsi="宋体" w:cs="宋体"/>
          <w:lang w:eastAsia="zh-CN"/>
        </w:rPr>
        <w:t>，</w:t>
      </w:r>
      <w:r>
        <w:rPr>
          <w:rFonts w:hint="eastAsia" w:ascii="宋体" w:hAnsi="宋体" w:cs="宋体"/>
        </w:rPr>
        <w:t>有限公司整体变更后担任股份公司</w:t>
      </w:r>
      <w:r>
        <w:rPr>
          <w:rFonts w:hint="eastAsia" w:ascii="宋体" w:hAnsi="宋体" w:cs="宋体"/>
          <w:highlight w:val="none"/>
        </w:rPr>
        <w:t>董事长</w:t>
      </w:r>
      <w:r>
        <w:rPr>
          <w:rFonts w:hint="eastAsia" w:ascii="宋体" w:hAnsi="宋体" w:cs="宋体"/>
          <w:highlight w:val="none"/>
          <w:lang w:eastAsia="zh-CN"/>
        </w:rPr>
        <w:t>兼总经理</w:t>
      </w:r>
      <w:r>
        <w:rPr>
          <w:rFonts w:hint="eastAsia" w:ascii="宋体" w:hAnsi="宋体" w:cs="宋体"/>
        </w:rPr>
        <w:t>，实际控制公司的生产经营，对股东会的重大决议以及公司发展战略、生产经营、对外投资、利润分配等问题具</w:t>
      </w:r>
      <w:r>
        <w:rPr>
          <w:rFonts w:hint="eastAsia" w:ascii="宋体" w:hAnsi="宋体" w:cs="宋体"/>
          <w:color w:val="000000"/>
        </w:rPr>
        <w:t>有重大影响，在公司的日常运营管理过程中，其控制着公司的经营与决策。基于上述原因，认定</w:t>
      </w:r>
      <w:r>
        <w:rPr>
          <w:rFonts w:hint="eastAsia" w:ascii="宋体" w:hAnsi="宋体" w:cs="宋体"/>
          <w:color w:val="000000"/>
          <w:lang w:eastAsia="zh-CN"/>
        </w:rPr>
        <w:t>张涛</w:t>
      </w:r>
      <w:r>
        <w:rPr>
          <w:rFonts w:hint="eastAsia" w:ascii="宋体" w:hAnsi="宋体" w:cs="宋体"/>
          <w:color w:val="000000"/>
        </w:rPr>
        <w:t>为公司实际控制人，且该实际控制情况在最近两年是持续有效存在的，在可预见的期限内也将是稳定的。</w:t>
      </w:r>
    </w:p>
    <w:p>
      <w:pPr>
        <w:spacing w:line="360" w:lineRule="auto"/>
        <w:ind w:firstLine="480"/>
        <w:rPr>
          <w:rFonts w:ascii="宋体" w:hAnsi="宋体" w:cs="宋体"/>
          <w:color w:val="000000"/>
        </w:rPr>
      </w:pPr>
      <w:r>
        <w:rPr>
          <w:rFonts w:hint="eastAsia" w:ascii="仿宋" w:hAnsi="仿宋" w:eastAsia="仿宋" w:cs="仿宋"/>
          <w:sz w:val="28"/>
          <w:szCs w:val="28"/>
        </w:rPr>
        <w:t>张涛先生，中国国籍，汉族，出生于1972年6月27日，身份证号：370302197206273931，无境外永久居留权，政治面貌：群众，高中学历。1988年-1991年7月就淄川寨里一中学校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1995年-2009年任职于淄博崇正水泥厂；</w:t>
      </w:r>
      <w:r>
        <w:rPr>
          <w:rFonts w:hint="eastAsia" w:ascii="仿宋" w:hAnsi="仿宋" w:eastAsia="仿宋" w:cs="仿宋"/>
          <w:sz w:val="28"/>
          <w:szCs w:val="28"/>
        </w:rPr>
        <w:t>2009年10月</w:t>
      </w:r>
      <w:r>
        <w:rPr>
          <w:rFonts w:hint="eastAsia" w:ascii="仿宋" w:hAnsi="仿宋" w:eastAsia="仿宋" w:cs="仿宋"/>
          <w:sz w:val="28"/>
          <w:szCs w:val="28"/>
          <w:lang w:val="en-US" w:eastAsia="zh-CN"/>
        </w:rPr>
        <w:t>-2021年8月</w:t>
      </w:r>
      <w:r>
        <w:rPr>
          <w:rFonts w:hint="eastAsia" w:ascii="仿宋" w:hAnsi="仿宋" w:eastAsia="仿宋" w:cs="仿宋"/>
          <w:sz w:val="28"/>
          <w:szCs w:val="28"/>
        </w:rPr>
        <w:t>，</w:t>
      </w:r>
      <w:r>
        <w:rPr>
          <w:rFonts w:hint="eastAsia" w:ascii="仿宋" w:hAnsi="仿宋" w:eastAsia="仿宋" w:cs="仿宋"/>
          <w:sz w:val="28"/>
          <w:szCs w:val="28"/>
          <w:lang w:eastAsia="zh-CN"/>
        </w:rPr>
        <w:t>淄博</w:t>
      </w:r>
      <w:r>
        <w:rPr>
          <w:rFonts w:hint="eastAsia" w:ascii="仿宋" w:hAnsi="仿宋" w:eastAsia="仿宋" w:cs="仿宋"/>
          <w:sz w:val="28"/>
          <w:szCs w:val="28"/>
        </w:rPr>
        <w:t>锦茂运输有限公司</w:t>
      </w:r>
      <w:r>
        <w:rPr>
          <w:rFonts w:hint="eastAsia" w:ascii="仿宋" w:hAnsi="仿宋" w:eastAsia="仿宋" w:cs="仿宋"/>
          <w:sz w:val="28"/>
          <w:szCs w:val="28"/>
          <w:lang w:eastAsia="zh-CN"/>
        </w:rPr>
        <w:t>执行董事、</w:t>
      </w:r>
      <w:r>
        <w:rPr>
          <w:rFonts w:hint="eastAsia" w:ascii="仿宋" w:hAnsi="仿宋" w:eastAsia="仿宋" w:cs="仿宋"/>
          <w:sz w:val="28"/>
          <w:szCs w:val="28"/>
        </w:rPr>
        <w:t>总经理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2021年8月至今任淄博锦茂运输股份有限公司董事长、总经理</w:t>
      </w:r>
      <w:r>
        <w:rPr>
          <w:rFonts w:hint="eastAsia"/>
          <w:szCs w:val="28"/>
          <w:lang w:val="en-US" w:eastAsia="zh-CN"/>
        </w:rPr>
        <w:t>。</w:t>
      </w:r>
    </w:p>
    <w:p>
      <w:pPr>
        <w:pStyle w:val="4"/>
        <w:numPr>
          <w:ilvl w:val="0"/>
          <w:numId w:val="0"/>
        </w:numPr>
        <w:ind w:firstLine="643" w:firstLineChars="200"/>
        <w:rPr>
          <w:rFonts w:ascii="仿宋" w:hAnsi="仿宋" w:cs="仿宋"/>
          <w:sz w:val="32"/>
        </w:rPr>
      </w:pPr>
      <w:bookmarkStart w:id="23" w:name="_Toc9721"/>
      <w:r>
        <w:rPr>
          <w:rFonts w:hint="eastAsia" w:ascii="仿宋" w:hAnsi="仿宋" w:cs="仿宋"/>
          <w:sz w:val="32"/>
          <w:lang w:eastAsia="zh-CN"/>
        </w:rPr>
        <w:t>三、</w:t>
      </w:r>
      <w:r>
        <w:rPr>
          <w:rFonts w:hint="eastAsia" w:ascii="仿宋" w:hAnsi="仿宋" w:cs="仿宋"/>
          <w:sz w:val="32"/>
        </w:rPr>
        <w:t>公司组织结构</w:t>
      </w:r>
      <w:bookmarkEnd w:id="22"/>
      <w:bookmarkEnd w:id="23"/>
    </w:p>
    <w:p>
      <w:pPr>
        <w:numPr>
          <w:ilvl w:val="0"/>
          <w:numId w:val="0"/>
        </w:numPr>
        <w:ind w:firstLine="560" w:firstLineChars="200"/>
        <w:jc w:val="left"/>
        <w:rPr>
          <w:rFonts w:ascii="宋体" w:hAnsi="宋体" w:eastAsia="宋体"/>
          <w:b/>
          <w:sz w:val="24"/>
        </w:rPr>
      </w:pPr>
      <w:r>
        <w:rPr>
          <w:rFonts w:hint="eastAsia"/>
          <w:lang w:eastAsia="zh-CN"/>
        </w:rPr>
        <w:t>（一）</w:t>
      </w:r>
      <w:r>
        <w:rPr>
          <w:rFonts w:hint="eastAsia"/>
        </w:rPr>
        <w:t>截止本说明书出具之日，公司组织结构图如下：</w:t>
      </w:r>
      <w:r>
        <w:rPr>
          <w:rFonts w:hint="eastAsia"/>
          <w:lang w:val="en-US" w:eastAsia="zh-CN"/>
        </w:rPr>
        <w:t xml:space="preserve">             </w:t>
      </w:r>
    </w:p>
    <w:p>
      <w:pPr>
        <w:adjustRightInd w:val="0"/>
        <w:snapToGrid w:val="0"/>
        <w:spacing w:line="360" w:lineRule="auto"/>
        <w:rPr>
          <w:rFonts w:hint="eastAsia" w:ascii="宋体" w:hAnsi="宋体" w:eastAsia="宋体"/>
          <w:b/>
          <w:sz w:val="24"/>
          <w:lang w:eastAsia="zh-CN"/>
        </w:rPr>
      </w:pPr>
      <w:r>
        <w:rPr>
          <w:rFonts w:hint="eastAsia" w:ascii="宋体" w:hAnsi="宋体" w:eastAsia="宋体"/>
          <w:b/>
          <w:sz w:val="24"/>
          <w:lang w:eastAsia="zh-CN"/>
        </w:rPr>
        <w:drawing>
          <wp:inline distT="0" distB="0" distL="114300" distR="114300">
            <wp:extent cx="4905375" cy="3467735"/>
            <wp:effectExtent l="0" t="0" r="9525" b="18415"/>
            <wp:docPr id="3" name="图片 3" descr="1628230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8230748(1)"/>
                    <pic:cNvPicPr>
                      <a:picLocks noChangeAspect="1"/>
                    </pic:cNvPicPr>
                  </pic:nvPicPr>
                  <pic:blipFill>
                    <a:blip r:embed="rId6"/>
                    <a:stretch>
                      <a:fillRect/>
                    </a:stretch>
                  </pic:blipFill>
                  <pic:spPr>
                    <a:xfrm>
                      <a:off x="0" y="0"/>
                      <a:ext cx="4905375" cy="3467735"/>
                    </a:xfrm>
                    <a:prstGeom prst="rect">
                      <a:avLst/>
                    </a:prstGeom>
                  </pic:spPr>
                </pic:pic>
              </a:graphicData>
            </a:graphic>
          </wp:inline>
        </w:drawing>
      </w:r>
    </w:p>
    <w:p>
      <w:r>
        <w:pict>
          <v:group id="_x0000_s1068" o:spid="_x0000_s1068" o:spt="203" style="position:absolute;left:0pt;margin-left:176.75pt;margin-top:1.35pt;height:37.55pt;width:92.55pt;z-index:251660288;mso-width-relative:page;mso-height-relative:page;" coordsize="0,73520" o:gfxdata="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hs+WCtkAAAAIAQAADwAAAAAAAAABACAAAAAiAAAAZHJzL2Rvd25yZXYueG1s&#10;UEsBAhQAFAAAAAgAh07iQOPe+U/bAgAAngYAAA4AAAAAAAAAAQAgAAAAKAEAAGRycy9lMm9Eb2Mu&#10;eG1sUEsFBgAAAAAGAAYAWQEAAHUGAAAAAA==&#10;">
            <o:lock v:ext="edit"/>
            <v:roundrect id="圆角矩形 40" o:spid="_x0000_s1070" o:spt="2" style="position:absolute;left:0;top:0;height:0;width:0;" fillcolor="#8DB3E2" filled="t" stroked="f" coordsize="21600,21600" arcsize="0.166666666666667" o:gfxdata="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a9LW5AAAA2wAA&#10;AA8AAAAAAAAAAQAgAAAAIgAAAGRycy9kb3ducmV2LnhtbFBLAQIUABQAAAAIAIdO4kAzLwWeOwAA&#10;ADkAAAAQAAAAAAAAAAEAIAAAAAgBAABkcnMvc2hhcGV4bWwueG1sUEsFBgAAAAAGAAYAWwEAALID&#10;AAAAAA==&#10;">
              <v:path/>
              <v:fill on="t" focussize="0,0"/>
              <v:stroke on="f" weight="3pt"/>
              <v:imagedata o:title=""/>
              <o:lock v:ext="edit"/>
              <v:shadow on="t" color="#243F60" opacity="32768f" offset="1pt,2pt"/>
            </v:roundrect>
            <v:shape id="文本框 41" o:spid="_x0000_s1069" o:spt="202" type="#_x0000_t202" style="position:absolute;left:0;top:0;height:0;width:0;" filled="f" stroked="f" coordsize="21600,21600" o:gfxdata="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XG3/vQAA&#10;ANsAAAAPAAAAAAAAAAEAIAAAACIAAABkcnMvZG93bnJldi54bWxQSwECFAAUAAAACACHTuJAMy8F&#10;njsAAAA5AAAAEAAAAAAAAAABACAAAAAMAQAAZHJzL3NoYXBleG1sLnhtbFBLBQYAAAAABgAGAFsB&#10;AAC2AwAAAAA=&#10;">
              <v:path/>
              <v:fill on="f" focussize="0,0"/>
              <v:stroke on="f" joinstyle="miter"/>
              <v:imagedata o:title=""/>
              <o:lock v:ext="edit"/>
              <v:textbox>
                <w:txbxContent>
                  <w:p>
                    <w:pPr>
                      <w:adjustRightInd w:val="0"/>
                      <w:snapToGrid w:val="0"/>
                      <w:jc w:val="center"/>
                      <w:rPr>
                        <w:sz w:val="24"/>
                      </w:rPr>
                    </w:pPr>
                    <w:r>
                      <w:rPr>
                        <w:rFonts w:hint="eastAsia"/>
                        <w:sz w:val="24"/>
                      </w:rPr>
                      <w:t>股东大会</w:t>
                    </w:r>
                  </w:p>
                </w:txbxContent>
              </v:textbox>
            </v:shape>
          </v:group>
        </w:pict>
      </w:r>
      <w:r>
        <w:rPr>
          <w:rFonts w:hint="eastAsia"/>
        </w:rPr>
        <w:t>（二）公司各部门具体职责</w:t>
      </w:r>
    </w:p>
    <w:p>
      <w:pPr>
        <w:rPr>
          <w:rFonts w:hint="eastAsia"/>
        </w:rPr>
      </w:pPr>
      <w:r>
        <w:rPr>
          <w:rFonts w:hint="eastAsia"/>
        </w:rPr>
        <w:t>公司主要职能部门的主要职责如下：</w:t>
      </w:r>
    </w:p>
    <w:tbl>
      <w:tblPr>
        <w:tblStyle w:val="21"/>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8"/>
        <w:gridCol w:w="6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tblHeader/>
        </w:trPr>
        <w:tc>
          <w:tcPr>
            <w:tcW w:w="1918" w:type="dxa"/>
            <w:shd w:val="clear" w:color="auto" w:fill="D7D7D7" w:themeFill="background1" w:themeFillShade="D8"/>
            <w:vAlign w:val="center"/>
          </w:tcPr>
          <w:p>
            <w:pPr>
              <w:jc w:val="center"/>
            </w:pPr>
            <w:r>
              <w:t>主要职能部门</w:t>
            </w:r>
          </w:p>
        </w:tc>
        <w:tc>
          <w:tcPr>
            <w:tcW w:w="6604" w:type="dxa"/>
            <w:shd w:val="clear" w:color="auto" w:fill="D7D7D7" w:themeFill="background1" w:themeFillShade="D8"/>
            <w:vAlign w:val="center"/>
          </w:tcPr>
          <w:p>
            <w:pPr>
              <w:jc w:val="center"/>
            </w:pPr>
            <w: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6" w:hRule="atLeast"/>
        </w:trPr>
        <w:tc>
          <w:tcPr>
            <w:tcW w:w="1918" w:type="dxa"/>
            <w:vAlign w:val="center"/>
          </w:tcPr>
          <w:p>
            <w:pPr>
              <w:adjustRightInd w:val="0"/>
              <w:snapToGrid w:val="0"/>
              <w:spacing w:line="360" w:lineRule="auto"/>
              <w:ind w:firstLine="0" w:firstLineChars="0"/>
              <w:jc w:val="center"/>
              <w:rPr>
                <w:rFonts w:hint="eastAsia" w:ascii="仿宋" w:hAnsi="仿宋" w:eastAsia="仿宋" w:cs="仿宋"/>
                <w:sz w:val="28"/>
                <w:szCs w:val="28"/>
                <w:lang w:eastAsia="zh-CN"/>
              </w:rPr>
            </w:pPr>
            <w:r>
              <w:rPr>
                <w:rFonts w:hint="eastAsia" w:ascii="宋体" w:hAnsi="宋体"/>
                <w:sz w:val="28"/>
                <w:szCs w:val="28"/>
              </w:rPr>
              <w:t>财务部</w:t>
            </w:r>
          </w:p>
        </w:tc>
        <w:tc>
          <w:tcPr>
            <w:tcW w:w="66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eastAsia="zh-CN"/>
              </w:rPr>
            </w:pPr>
            <w:r>
              <w:rPr>
                <w:rFonts w:hint="eastAsia" w:ascii="仿宋" w:hAnsi="仿宋" w:eastAsia="仿宋" w:cs="仿宋"/>
                <w:color w:val="000000"/>
                <w:sz w:val="28"/>
                <w:szCs w:val="28"/>
              </w:rPr>
              <w:t>主要职责是建立完善公司的财务管理制度并组织实施，负责公司财务预决算，提供主要财务数据、经营成果分析；负责公司的成本核算和资产管理工作；负责公司各事业部的预算编制、收集、整理及预算考核；负责公司资金平衡计划，资金筹措与使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3" w:hRule="atLeast"/>
        </w:trPr>
        <w:tc>
          <w:tcPr>
            <w:tcW w:w="1918" w:type="dxa"/>
            <w:vAlign w:val="center"/>
          </w:tcPr>
          <w:p>
            <w:pPr>
              <w:adjustRightInd w:val="0"/>
              <w:snapToGrid w:val="0"/>
              <w:spacing w:line="360" w:lineRule="auto"/>
              <w:ind w:firstLine="0" w:firstLineChars="0"/>
              <w:jc w:val="center"/>
              <w:rPr>
                <w:rFonts w:hint="eastAsia" w:ascii="仿宋" w:hAnsi="仿宋" w:eastAsia="仿宋" w:cs="仿宋"/>
                <w:sz w:val="28"/>
                <w:szCs w:val="28"/>
              </w:rPr>
            </w:pPr>
            <w:r>
              <w:rPr>
                <w:rFonts w:hint="eastAsia" w:ascii="宋体" w:hAnsi="宋体"/>
                <w:sz w:val="28"/>
                <w:szCs w:val="28"/>
                <w:lang w:eastAsia="zh-CN"/>
              </w:rPr>
              <w:t>行政部</w:t>
            </w:r>
          </w:p>
        </w:tc>
        <w:tc>
          <w:tcPr>
            <w:tcW w:w="66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eastAsia="zh-CN"/>
              </w:rPr>
            </w:pPr>
            <w:r>
              <w:rPr>
                <w:rFonts w:hint="eastAsia" w:ascii="仿宋" w:hAnsi="仿宋" w:eastAsia="仿宋" w:cs="仿宋"/>
                <w:color w:val="000000"/>
                <w:sz w:val="28"/>
                <w:szCs w:val="28"/>
              </w:rPr>
              <w:t>主要负责监督管理公司人力资源计划的实施。建立公司用工制度、人事管理制度、劳动工资制度、人事档案管理制度、员工手册、培训大纲等规章制度、实施细则和人力资源工作程序的改进，跟踪监督建议的实施情况；了解人力资源工作情况和相关数据，收集分析公司人事、劳资信息，指导人事专员的工作。受理员工投诉和员工与公司劳动争议事宜，并负责跟踪并监督及时解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918" w:type="dxa"/>
            <w:vAlign w:val="center"/>
          </w:tcPr>
          <w:p>
            <w:pPr>
              <w:adjustRightInd w:val="0"/>
              <w:snapToGrid w:val="0"/>
              <w:spacing w:line="360" w:lineRule="auto"/>
              <w:ind w:firstLine="0" w:firstLineChars="0"/>
              <w:jc w:val="center"/>
              <w:rPr>
                <w:rFonts w:hint="eastAsia" w:ascii="仿宋" w:hAnsi="仿宋" w:eastAsia="仿宋" w:cs="仿宋"/>
                <w:kern w:val="0"/>
                <w:sz w:val="28"/>
                <w:szCs w:val="28"/>
              </w:rPr>
            </w:pPr>
            <w:r>
              <w:rPr>
                <w:rFonts w:hint="eastAsia" w:ascii="宋体" w:hAnsi="宋体"/>
                <w:sz w:val="28"/>
                <w:szCs w:val="28"/>
                <w:lang w:eastAsia="zh-CN"/>
              </w:rPr>
              <w:t>运输</w:t>
            </w:r>
            <w:r>
              <w:rPr>
                <w:rFonts w:ascii="宋体" w:hAnsi="宋体"/>
                <w:sz w:val="28"/>
                <w:szCs w:val="28"/>
              </w:rPr>
              <w:t>部</w:t>
            </w:r>
          </w:p>
        </w:tc>
        <w:tc>
          <w:tcPr>
            <w:tcW w:w="66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color w:val="000000"/>
                <w:sz w:val="28"/>
                <w:szCs w:val="28"/>
              </w:rPr>
              <w:t>负责运输车辆的管理，进行车辆运行信息控制，使运输过程控制有效；根据信息量，调动车辆及时装车，完成发车运送工作。严格车辆运输管理要求，避免交通安全事故，及时处理交通事故，确保运输货物安全准时送达顾客。负责运输车辆保养，对公司内部的运输专用工位器具负责提出使用要求和审验，保持车辆技术状态。负责对司机的安全教育培训及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18" w:type="dxa"/>
            <w:vAlign w:val="center"/>
          </w:tcPr>
          <w:p>
            <w:pPr>
              <w:adjustRightInd w:val="0"/>
              <w:snapToGrid w:val="0"/>
              <w:spacing w:line="360" w:lineRule="auto"/>
              <w:ind w:firstLine="0" w:firstLineChars="0"/>
              <w:jc w:val="center"/>
              <w:rPr>
                <w:rFonts w:hint="eastAsia" w:ascii="仿宋" w:hAnsi="仿宋" w:eastAsia="仿宋" w:cs="仿宋"/>
                <w:kern w:val="0"/>
                <w:sz w:val="28"/>
                <w:szCs w:val="28"/>
              </w:rPr>
            </w:pPr>
            <w:r>
              <w:rPr>
                <w:rFonts w:hint="eastAsia" w:ascii="宋体" w:hAnsi="宋体"/>
                <w:kern w:val="0"/>
                <w:sz w:val="28"/>
                <w:szCs w:val="28"/>
                <w:lang w:eastAsia="zh-CN"/>
              </w:rPr>
              <w:t>安监部</w:t>
            </w:r>
          </w:p>
        </w:tc>
        <w:tc>
          <w:tcPr>
            <w:tcW w:w="66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color w:val="000000"/>
                <w:sz w:val="28"/>
                <w:szCs w:val="28"/>
              </w:rPr>
              <w:t>主管运输服务过程的监督和检查负责外包承运单位管理与控制。</w:t>
            </w:r>
            <w:r>
              <w:rPr>
                <w:rFonts w:hint="eastAsia" w:ascii="仿宋" w:hAnsi="仿宋" w:eastAsia="仿宋" w:cs="仿宋"/>
                <w:color w:val="000000"/>
                <w:sz w:val="28"/>
                <w:szCs w:val="28"/>
                <w:lang w:eastAsia="zh-CN"/>
              </w:rPr>
              <w:t>负责起草并参与修订公司安全生产检查相关制度，参与编制、修订有关安全标准化的规章制度、作业标准及安全技术规程、应急预案等，并监督其在全公司的落实执行情况；执行公司年、季、月度安全标准化检查计划，做好定期检查和日常巡检工作；监督运输作业车辆实时动态，纠正违章作业；遇有危及安全生产的紧急情况，有权下令停止作业，立即报告有关领导，并做好相关记录；组织各类专项安全检查和隐患排查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18" w:type="dxa"/>
            <w:vAlign w:val="center"/>
          </w:tcPr>
          <w:p>
            <w:pPr>
              <w:adjustRightInd w:val="0"/>
              <w:snapToGrid w:val="0"/>
              <w:spacing w:line="360" w:lineRule="auto"/>
              <w:ind w:firstLine="0" w:firstLineChars="0"/>
              <w:jc w:val="center"/>
              <w:rPr>
                <w:rFonts w:hint="eastAsia" w:ascii="Times New Roman" w:hAnsi="Times New Roman" w:cs="Times New Roman"/>
                <w:sz w:val="28"/>
                <w:szCs w:val="28"/>
                <w:lang w:val="en-US" w:eastAsia="zh-CN"/>
              </w:rPr>
            </w:pPr>
            <w:r>
              <w:rPr>
                <w:rFonts w:hint="eastAsia" w:ascii="宋体" w:hAnsi="宋体"/>
                <w:kern w:val="0"/>
                <w:sz w:val="28"/>
                <w:szCs w:val="28"/>
                <w:lang w:eastAsia="zh-CN"/>
              </w:rPr>
              <w:t>业务部</w:t>
            </w:r>
          </w:p>
        </w:tc>
        <w:tc>
          <w:tcPr>
            <w:tcW w:w="6604" w:type="dxa"/>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cs="Times New Roman"/>
                <w:sz w:val="28"/>
                <w:szCs w:val="28"/>
                <w:lang w:val="en-US" w:eastAsia="zh-CN"/>
              </w:rPr>
            </w:pPr>
            <w:r>
              <w:rPr>
                <w:rFonts w:hint="eastAsia" w:ascii="仿宋" w:hAnsi="仿宋" w:eastAsia="仿宋" w:cs="仿宋"/>
                <w:color w:val="000000"/>
                <w:sz w:val="28"/>
                <w:szCs w:val="28"/>
              </w:rPr>
              <w:t>负责组织运输服务和运输过程组织。市场开发及经营合同签订。经常保持与顾客沟通，用良好的服务让顾客满意，组织用户综合满意度调查。组织编制公司年度经营计划，并根据经营需求滚动实施，合理整合运输资源和动力，组织运输管理和评价，并对实施的有效性和纪实性负责</w:t>
            </w:r>
            <w:r>
              <w:rPr>
                <w:rFonts w:hint="eastAsia" w:ascii="仿宋" w:hAnsi="仿宋" w:eastAsia="仿宋" w:cs="仿宋"/>
                <w:color w:val="000000"/>
                <w:sz w:val="28"/>
                <w:szCs w:val="28"/>
                <w:lang w:eastAsia="zh-CN"/>
              </w:rPr>
              <w:t>。</w:t>
            </w:r>
          </w:p>
        </w:tc>
      </w:tr>
    </w:tbl>
    <w:p>
      <w:pPr>
        <w:adjustRightInd w:val="0"/>
        <w:snapToGrid w:val="0"/>
        <w:spacing w:line="440" w:lineRule="atLeast"/>
        <w:ind w:firstLine="560" w:firstLineChars="200"/>
        <w:rPr>
          <w:rFonts w:ascii="仿宋" w:hAnsi="仿宋" w:cs="仿宋"/>
          <w:szCs w:val="28"/>
        </w:rPr>
      </w:pPr>
    </w:p>
    <w:p>
      <w:pPr>
        <w:pStyle w:val="4"/>
        <w:numPr>
          <w:ilvl w:val="0"/>
          <w:numId w:val="0"/>
        </w:numPr>
        <w:ind w:firstLine="301" w:firstLineChars="100"/>
        <w:rPr>
          <w:rFonts w:hint="eastAsia" w:ascii="宋体" w:hAnsi="宋体" w:eastAsia="仿宋" w:cs="宋体"/>
          <w:sz w:val="30"/>
          <w:szCs w:val="30"/>
          <w:lang w:eastAsia="zh-CN"/>
        </w:rPr>
      </w:pPr>
      <w:bookmarkStart w:id="24" w:name="_Toc3482"/>
      <w:r>
        <w:rPr>
          <w:rFonts w:hint="eastAsia" w:ascii="宋体" w:hAnsi="宋体" w:cs="宋体"/>
          <w:sz w:val="30"/>
          <w:szCs w:val="30"/>
          <w:lang w:eastAsia="zh-CN"/>
        </w:rPr>
        <w:t>四、</w:t>
      </w:r>
      <w:r>
        <w:rPr>
          <w:rFonts w:hint="eastAsia" w:ascii="宋体" w:hAnsi="宋体" w:cs="宋体"/>
          <w:sz w:val="30"/>
          <w:szCs w:val="30"/>
        </w:rPr>
        <w:t>公司</w:t>
      </w:r>
      <w:r>
        <w:rPr>
          <w:rFonts w:hint="eastAsia" w:ascii="宋体" w:hAnsi="宋体" w:cs="宋体"/>
          <w:sz w:val="30"/>
          <w:szCs w:val="30"/>
          <w:lang w:eastAsia="zh-CN"/>
        </w:rPr>
        <w:t>主营业务情况</w:t>
      </w:r>
      <w:bookmarkEnd w:id="24"/>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cs="仿宋"/>
          <w:sz w:val="28"/>
          <w:szCs w:val="28"/>
          <w:lang w:eastAsia="zh-CN"/>
        </w:rPr>
        <w:t>（一）主要商业模式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cs="仿宋"/>
          <w:sz w:val="28"/>
          <w:szCs w:val="28"/>
          <w:lang w:eastAsia="zh-CN"/>
        </w:rPr>
        <w:t>运营</w:t>
      </w:r>
      <w:r>
        <w:rPr>
          <w:rFonts w:hint="eastAsia" w:ascii="仿宋" w:hAnsi="仿宋" w:eastAsia="仿宋" w:cs="仿宋"/>
          <w:sz w:val="28"/>
          <w:szCs w:val="28"/>
        </w:rPr>
        <w:t>模式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b w:val="0"/>
          <w:bCs w:val="0"/>
          <w:color w:val="000000"/>
          <w:sz w:val="28"/>
          <w:szCs w:val="28"/>
          <w:lang w:val="en-US" w:eastAsia="zh-CN"/>
        </w:rPr>
        <w:t>公司在具体提供运输服务时，由客户通过其自身的物流系统或电话等其他通讯方式下达发运计划，公司在接收客户下达的计划后对发运计划进行组合，并安排车辆运输。同时公司物流部根据发运计划监控商品车的发运状态信息，以确保驾驶员能按时将商品车运输至目的地。公路货物运输服务，根据运输路线及总里程的不同，单位吨位每公里运费从0.8-2元不等，成品油、液化石油气、硫酸等不同品种的单位里程运费均有所不同</w:t>
      </w:r>
      <w:r>
        <w:rPr>
          <w:rFonts w:hint="eastAsia" w:ascii="仿宋" w:hAnsi="仿宋" w:cs="仿宋"/>
          <w:b w:val="0"/>
          <w:bCs w:val="0"/>
          <w:color w:val="000000"/>
          <w:sz w:val="28"/>
          <w:szCs w:val="28"/>
          <w:lang w:val="en-US" w:eastAsia="zh-CN"/>
        </w:rPr>
        <w:t>。</w:t>
      </w:r>
    </w:p>
    <w:p>
      <w:pPr>
        <w:spacing w:line="360" w:lineRule="auto"/>
        <w:ind w:firstLine="616" w:firstLineChars="220"/>
        <w:rPr>
          <w:rFonts w:hint="eastAsia" w:ascii="仿宋" w:hAnsi="仿宋" w:cs="仿宋"/>
          <w:sz w:val="28"/>
          <w:szCs w:val="28"/>
          <w:lang w:val="en-US" w:eastAsia="zh-CN"/>
        </w:rPr>
      </w:pPr>
      <w:r>
        <w:rPr>
          <w:rFonts w:hint="eastAsia" w:ascii="仿宋" w:hAnsi="仿宋" w:cs="仿宋"/>
          <w:sz w:val="28"/>
          <w:szCs w:val="28"/>
          <w:lang w:val="en-US" w:eastAsia="zh-CN"/>
        </w:rPr>
        <w:t>2、销售模式</w:t>
      </w:r>
    </w:p>
    <w:p>
      <w:pPr>
        <w:spacing w:line="360" w:lineRule="auto"/>
        <w:ind w:firstLine="616" w:firstLineChars="220"/>
        <w:rPr>
          <w:rFonts w:hint="eastAsia" w:ascii="仿宋" w:hAnsi="仿宋" w:eastAsia="仿宋" w:cs="仿宋"/>
          <w:sz w:val="28"/>
          <w:szCs w:val="28"/>
        </w:rPr>
      </w:pPr>
      <w:r>
        <w:rPr>
          <w:rFonts w:hint="eastAsia" w:ascii="仿宋" w:hAnsi="仿宋" w:eastAsia="仿宋" w:cs="仿宋"/>
          <w:sz w:val="28"/>
          <w:szCs w:val="28"/>
        </w:rPr>
        <w:t>公司的销售模式主要是直销，由公司具体业务人员直接和客户接洽完成服务。公司的客户资源主要通过以下方式取得：一是公司负责人和业务人员的直接洽谈。在经营中，凭借优质的服务和较高的品牌知名度，通过直接洽谈，公司积累了一批客户；二是上下游合作方的宣传和引荐。</w:t>
      </w:r>
    </w:p>
    <w:p>
      <w:pPr>
        <w:spacing w:line="360" w:lineRule="auto"/>
        <w:ind w:firstLine="616" w:firstLineChars="220"/>
        <w:rPr>
          <w:rFonts w:hint="eastAsia" w:ascii="仿宋" w:hAnsi="仿宋" w:cs="仿宋"/>
          <w:sz w:val="28"/>
          <w:szCs w:val="28"/>
          <w:lang w:val="en-US" w:eastAsia="zh-CN"/>
        </w:rPr>
      </w:pPr>
      <w:r>
        <w:rPr>
          <w:rFonts w:hint="eastAsia" w:ascii="仿宋" w:hAnsi="仿宋" w:cs="仿宋"/>
          <w:sz w:val="28"/>
          <w:szCs w:val="28"/>
          <w:lang w:val="en-US" w:eastAsia="zh-CN"/>
        </w:rPr>
        <w:t>3、结算模式</w:t>
      </w:r>
    </w:p>
    <w:p>
      <w:pPr>
        <w:keepNext w:val="0"/>
        <w:keepLines w:val="0"/>
        <w:pageBreakBefore w:val="0"/>
        <w:widowControl w:val="0"/>
        <w:kinsoku/>
        <w:wordWrap/>
        <w:overflowPunct/>
        <w:topLinePunct w:val="0"/>
        <w:autoSpaceDE/>
        <w:autoSpaceDN/>
        <w:bidi w:val="0"/>
        <w:adjustRightInd w:val="0"/>
        <w:spacing w:line="360" w:lineRule="auto"/>
        <w:ind w:firstLine="480"/>
        <w:textAlignment w:val="auto"/>
        <w:rPr>
          <w:rFonts w:hint="default" w:eastAsia="仿宋_GB2312"/>
          <w:lang w:val="en-US" w:eastAsia="zh-CN"/>
        </w:rPr>
      </w:pPr>
      <w:r>
        <w:rPr>
          <w:rFonts w:hint="eastAsia"/>
          <w:lang w:val="en-US" w:eastAsia="zh-CN"/>
        </w:rPr>
        <w:t xml:space="preserve"> </w:t>
      </w:r>
      <w:r>
        <w:rPr>
          <w:rFonts w:hint="eastAsia" w:ascii="仿宋" w:hAnsi="仿宋" w:eastAsia="仿宋" w:cs="仿宋"/>
          <w:color w:val="000000"/>
          <w:sz w:val="28"/>
          <w:szCs w:val="28"/>
        </w:rPr>
        <w:t>公司结算方式</w:t>
      </w:r>
      <w:r>
        <w:rPr>
          <w:rFonts w:hint="eastAsia" w:ascii="仿宋" w:hAnsi="仿宋" w:eastAsia="仿宋" w:cs="仿宋"/>
          <w:color w:val="000000"/>
          <w:sz w:val="28"/>
          <w:szCs w:val="28"/>
          <w:lang w:eastAsia="zh-CN"/>
        </w:rPr>
        <w:t>主要现款结算为主，信用结算为辅。客户运输任务下单时，需将合同约定的预付款付至公司银行账户，公司调度车辆为其安排运输任务；运输货物到达客户指定地点验收完成后，按照合同约定情况支付项目尾款。采购原材料则</w:t>
      </w:r>
      <w:r>
        <w:rPr>
          <w:rFonts w:hint="eastAsia" w:ascii="仿宋" w:hAnsi="仿宋" w:cs="仿宋"/>
          <w:color w:val="000000"/>
          <w:sz w:val="28"/>
          <w:szCs w:val="28"/>
          <w:lang w:eastAsia="zh-CN"/>
        </w:rPr>
        <w:t>一般为现货结算。</w:t>
      </w:r>
    </w:p>
    <w:p>
      <w:pPr>
        <w:tabs>
          <w:tab w:val="left" w:pos="1644"/>
        </w:tabs>
        <w:spacing w:line="360" w:lineRule="auto"/>
        <w:ind w:firstLine="600" w:firstLineChars="200"/>
        <w:rPr>
          <w:rFonts w:hint="eastAsia" w:ascii="仿宋" w:hAnsi="仿宋" w:eastAsia="仿宋" w:cs="仿宋"/>
          <w:b w:val="0"/>
          <w:bCs/>
          <w:sz w:val="30"/>
          <w:szCs w:val="30"/>
          <w:lang w:eastAsia="zh-CN"/>
        </w:rPr>
      </w:pPr>
      <w:r>
        <w:rPr>
          <w:rFonts w:hint="eastAsia" w:ascii="仿宋" w:hAnsi="仿宋" w:cs="仿宋"/>
          <w:b w:val="0"/>
          <w:bCs/>
          <w:sz w:val="30"/>
          <w:szCs w:val="30"/>
        </w:rPr>
        <w:t>（</w:t>
      </w:r>
      <w:r>
        <w:rPr>
          <w:rFonts w:hint="eastAsia" w:ascii="仿宋" w:hAnsi="仿宋" w:cs="仿宋"/>
          <w:b w:val="0"/>
          <w:bCs/>
          <w:sz w:val="30"/>
          <w:szCs w:val="30"/>
          <w:lang w:eastAsia="zh-CN"/>
        </w:rPr>
        <w:t>二</w:t>
      </w:r>
      <w:r>
        <w:rPr>
          <w:rFonts w:hint="eastAsia" w:ascii="仿宋" w:hAnsi="仿宋" w:cs="仿宋"/>
          <w:b w:val="0"/>
          <w:bCs/>
          <w:sz w:val="30"/>
          <w:szCs w:val="30"/>
        </w:rPr>
        <w:t>）</w:t>
      </w:r>
      <w:r>
        <w:rPr>
          <w:rFonts w:hint="eastAsia" w:ascii="仿宋" w:hAnsi="仿宋" w:cs="仿宋"/>
          <w:b w:val="0"/>
          <w:bCs/>
          <w:sz w:val="30"/>
          <w:szCs w:val="30"/>
          <w:lang w:eastAsia="zh-CN"/>
        </w:rPr>
        <w:t>公司主要业务</w:t>
      </w:r>
    </w:p>
    <w:p>
      <w:pPr>
        <w:spacing w:line="360" w:lineRule="auto"/>
        <w:ind w:firstLine="480"/>
        <w:rPr>
          <w:rFonts w:hint="eastAsia" w:ascii="宋体" w:hAnsi="宋体"/>
          <w:lang w:val="en-US" w:eastAsia="zh-CN"/>
        </w:rPr>
      </w:pPr>
      <w:r>
        <w:rPr>
          <w:rFonts w:hint="eastAsia" w:ascii="宋体" w:hAnsi="宋体" w:cs="宋体"/>
          <w:sz w:val="24"/>
        </w:rPr>
        <w:t xml:space="preserve"> </w:t>
      </w:r>
      <w:r>
        <w:rPr>
          <w:rFonts w:hint="eastAsia" w:ascii="宋体" w:hAnsi="宋体"/>
        </w:rPr>
        <w:t xml:space="preserve"> </w:t>
      </w:r>
      <w:r>
        <w:rPr>
          <w:rFonts w:hint="eastAsia" w:ascii="宋体" w:hAnsi="宋体"/>
          <w:lang w:val="en-US" w:eastAsia="zh-CN"/>
        </w:rPr>
        <w:t>公司是一家以公路运输物流服务为主业的第三方物流服务供应商。公司根据客户的要求，由公司自有营运车辆完成公路运输任务，按合同约定收取运费；或与物流外协供应商合作完成公路运输任务；在适当的情况下，将公司的部分运输业务与其他同行业公司的运输业务进行业务合作，以提高双方自有车辆的车载率和返程重载率，实现“互利双赢</w:t>
      </w:r>
      <w:r>
        <w:rPr>
          <w:rFonts w:hint="default" w:ascii="宋体" w:hAnsi="宋体"/>
          <w:lang w:val="en-US" w:eastAsia="zh-CN"/>
        </w:rPr>
        <w:t>”</w:t>
      </w:r>
      <w:r>
        <w:rPr>
          <w:rFonts w:hint="eastAsia" w:ascii="宋体" w:hAnsi="宋体"/>
          <w:lang w:val="en-US" w:eastAsia="zh-CN"/>
        </w:rPr>
        <w:t>。</w:t>
      </w:r>
    </w:p>
    <w:p>
      <w:pPr>
        <w:pStyle w:val="4"/>
        <w:bidi w:val="0"/>
      </w:pPr>
      <w:bookmarkStart w:id="25" w:name="_Toc1224"/>
      <w:r>
        <w:rPr>
          <w:rFonts w:hint="eastAsia"/>
          <w:lang w:eastAsia="zh-CN"/>
        </w:rPr>
        <w:t>五、</w:t>
      </w:r>
      <w:r>
        <w:rPr>
          <w:rFonts w:hint="eastAsia"/>
        </w:rPr>
        <w:t>公司财务</w:t>
      </w:r>
      <w:r>
        <w:rPr>
          <w:rFonts w:hint="eastAsia"/>
          <w:lang w:eastAsia="zh-CN"/>
        </w:rPr>
        <w:t>简</w:t>
      </w:r>
      <w:r>
        <w:rPr>
          <w:rFonts w:hint="eastAsia"/>
        </w:rPr>
        <w:t>报</w:t>
      </w:r>
      <w:bookmarkEnd w:id="25"/>
    </w:p>
    <w:p>
      <w:pPr>
        <w:numPr>
          <w:ilvl w:val="0"/>
          <w:numId w:val="2"/>
        </w:numPr>
        <w:adjustRightInd w:val="0"/>
        <w:snapToGrid w:val="0"/>
        <w:spacing w:afterLines="50" w:line="440" w:lineRule="atLeast"/>
        <w:ind w:left="482"/>
        <w:rPr>
          <w:rFonts w:hint="eastAsia" w:ascii="仿宋" w:hAnsi="仿宋" w:eastAsia="仿宋" w:cs="仿宋"/>
          <w:kern w:val="0"/>
          <w:sz w:val="28"/>
          <w:szCs w:val="28"/>
        </w:rPr>
      </w:pPr>
      <w:bookmarkStart w:id="26" w:name="_Toc248204895"/>
      <w:r>
        <w:rPr>
          <w:rFonts w:hint="eastAsia" w:ascii="仿宋" w:hAnsi="仿宋" w:eastAsia="仿宋" w:cs="仿宋"/>
          <w:b/>
          <w:bCs/>
          <w:sz w:val="28"/>
          <w:szCs w:val="28"/>
        </w:rPr>
        <w:t>资产负债表</w:t>
      </w:r>
      <w:bookmarkEnd w:id="26"/>
      <w:bookmarkStart w:id="27" w:name="_Toc248204896"/>
      <w:r>
        <w:rPr>
          <w:rFonts w:hint="eastAsia" w:ascii="仿宋" w:hAnsi="仿宋" w:eastAsia="仿宋" w:cs="仿宋"/>
          <w:kern w:val="0"/>
          <w:sz w:val="28"/>
          <w:szCs w:val="28"/>
        </w:rPr>
        <w:t>（除特别注明外，金额单位均为人民币元）</w:t>
      </w:r>
    </w:p>
    <w:tbl>
      <w:tblPr>
        <w:tblStyle w:val="21"/>
        <w:tblW w:w="9105" w:type="dxa"/>
        <w:tblInd w:w="-396" w:type="dxa"/>
        <w:shd w:val="clear" w:color="auto" w:fill="auto"/>
        <w:tblLayout w:type="fixed"/>
        <w:tblCellMar>
          <w:top w:w="0" w:type="dxa"/>
          <w:left w:w="0" w:type="dxa"/>
          <w:bottom w:w="0" w:type="dxa"/>
          <w:right w:w="0" w:type="dxa"/>
        </w:tblCellMar>
      </w:tblPr>
      <w:tblGrid>
        <w:gridCol w:w="3204"/>
        <w:gridCol w:w="1971"/>
        <w:gridCol w:w="2040"/>
        <w:gridCol w:w="1890"/>
      </w:tblGrid>
      <w:tr>
        <w:tblPrEx>
          <w:shd w:val="clear" w:color="auto" w:fill="auto"/>
          <w:tblCellMar>
            <w:top w:w="0" w:type="dxa"/>
            <w:left w:w="0" w:type="dxa"/>
            <w:bottom w:w="0" w:type="dxa"/>
            <w:right w:w="0" w:type="dxa"/>
          </w:tblCellMar>
        </w:tblPrEx>
        <w:trPr>
          <w:cantSplit/>
          <w:trHeight w:val="37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 </w:t>
            </w:r>
            <w:r>
              <w:rPr>
                <w:rFonts w:hint="eastAsia" w:ascii="仿宋" w:hAnsi="仿宋" w:eastAsia="仿宋" w:cs="仿宋"/>
                <w:b w:val="0"/>
                <w:bCs/>
                <w:i w:val="0"/>
                <w:color w:val="000000"/>
                <w:kern w:val="0"/>
                <w:sz w:val="28"/>
                <w:szCs w:val="28"/>
                <w:u w:val="none"/>
                <w:lang w:val="en-US" w:eastAsia="zh-CN" w:bidi="ar"/>
              </w:rPr>
              <w:t xml:space="preserve">  项   目 </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Style w:val="47"/>
                <w:b w:val="0"/>
                <w:bCs/>
                <w:lang w:val="en-US" w:eastAsia="zh-CN" w:bidi="ar"/>
              </w:rPr>
              <w:t>202</w:t>
            </w:r>
            <w:r>
              <w:rPr>
                <w:rStyle w:val="47"/>
                <w:rFonts w:hint="eastAsia"/>
                <w:b w:val="0"/>
                <w:bCs/>
                <w:lang w:val="en-US" w:eastAsia="zh-CN" w:bidi="ar"/>
              </w:rPr>
              <w:t>1</w:t>
            </w:r>
            <w:r>
              <w:rPr>
                <w:rFonts w:hint="eastAsia" w:ascii="宋体" w:hAnsi="宋体" w:eastAsia="宋体" w:cs="宋体"/>
                <w:b w:val="0"/>
                <w:bCs/>
                <w:i w:val="0"/>
                <w:color w:val="000000"/>
                <w:kern w:val="0"/>
                <w:sz w:val="24"/>
                <w:szCs w:val="24"/>
                <w:u w:val="none"/>
                <w:lang w:val="en-US" w:eastAsia="zh-CN" w:bidi="ar"/>
              </w:rPr>
              <w:t>年7月</w:t>
            </w:r>
            <w:r>
              <w:rPr>
                <w:rStyle w:val="47"/>
                <w:b w:val="0"/>
                <w:bCs/>
                <w:lang w:val="en-US" w:eastAsia="zh-CN" w:bidi="ar"/>
              </w:rPr>
              <w:t>3</w:t>
            </w:r>
            <w:r>
              <w:rPr>
                <w:rStyle w:val="47"/>
                <w:rFonts w:hint="eastAsia"/>
                <w:b w:val="0"/>
                <w:bCs/>
                <w:lang w:val="en-US" w:eastAsia="zh-CN" w:bidi="ar"/>
              </w:rPr>
              <w:t>1</w:t>
            </w:r>
            <w:r>
              <w:rPr>
                <w:rFonts w:hint="eastAsia" w:ascii="宋体" w:hAnsi="宋体" w:eastAsia="宋体" w:cs="宋体"/>
                <w:b w:val="0"/>
                <w:bCs/>
                <w:i w:val="0"/>
                <w:color w:val="000000"/>
                <w:kern w:val="0"/>
                <w:sz w:val="24"/>
                <w:szCs w:val="24"/>
                <w:u w:val="none"/>
                <w:lang w:val="en-US" w:eastAsia="zh-CN" w:bidi="ar"/>
              </w:rPr>
              <w:t>日</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Style w:val="47"/>
                <w:b w:val="0"/>
                <w:bCs/>
                <w:lang w:val="en-US" w:eastAsia="zh-CN" w:bidi="ar"/>
              </w:rPr>
              <w:t>20</w:t>
            </w:r>
            <w:r>
              <w:rPr>
                <w:rStyle w:val="47"/>
                <w:rFonts w:hint="eastAsia"/>
                <w:b w:val="0"/>
                <w:bCs/>
                <w:lang w:val="en-US" w:eastAsia="zh-CN" w:bidi="ar"/>
              </w:rPr>
              <w:t>20</w:t>
            </w:r>
            <w:r>
              <w:rPr>
                <w:rFonts w:ascii="仿宋_GB2312" w:hAnsi="Arial Narrow" w:eastAsia="仿宋_GB2312" w:cs="仿宋_GB2312"/>
                <w:b w:val="0"/>
                <w:bCs/>
                <w:i w:val="0"/>
                <w:color w:val="000000"/>
                <w:kern w:val="0"/>
                <w:sz w:val="24"/>
                <w:szCs w:val="24"/>
                <w:u w:val="none"/>
                <w:lang w:val="en-US" w:eastAsia="zh-CN" w:bidi="ar"/>
              </w:rPr>
              <w:t>年</w:t>
            </w:r>
            <w:r>
              <w:rPr>
                <w:rStyle w:val="47"/>
                <w:b w:val="0"/>
                <w:bCs/>
                <w:lang w:val="en-US" w:eastAsia="zh-CN" w:bidi="ar"/>
              </w:rPr>
              <w:t>12</w:t>
            </w:r>
            <w:r>
              <w:rPr>
                <w:rFonts w:ascii="仿宋_GB2312" w:hAnsi="Arial Narrow" w:eastAsia="仿宋_GB2312" w:cs="仿宋_GB2312"/>
                <w:b w:val="0"/>
                <w:bCs/>
                <w:i w:val="0"/>
                <w:color w:val="000000"/>
                <w:kern w:val="0"/>
                <w:sz w:val="24"/>
                <w:szCs w:val="24"/>
                <w:u w:val="none"/>
                <w:lang w:val="en-US" w:eastAsia="zh-CN" w:bidi="ar"/>
              </w:rPr>
              <w:t>月</w:t>
            </w:r>
            <w:r>
              <w:rPr>
                <w:rStyle w:val="47"/>
                <w:b w:val="0"/>
                <w:bCs/>
                <w:lang w:val="en-US" w:eastAsia="zh-CN" w:bidi="ar"/>
              </w:rPr>
              <w:t>31</w:t>
            </w:r>
            <w:r>
              <w:rPr>
                <w:rFonts w:ascii="仿宋_GB2312" w:hAnsi="Arial Narrow" w:eastAsia="仿宋_GB2312" w:cs="仿宋_GB2312"/>
                <w:b w:val="0"/>
                <w:bCs/>
                <w:i w:val="0"/>
                <w:color w:val="000000"/>
                <w:kern w:val="0"/>
                <w:sz w:val="24"/>
                <w:szCs w:val="24"/>
                <w:u w:val="none"/>
                <w:lang w:val="en-US" w:eastAsia="zh-CN" w:bidi="ar"/>
              </w:rPr>
              <w:t xml:space="preserve">日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Style w:val="47"/>
                <w:b w:val="0"/>
                <w:bCs/>
                <w:lang w:val="en-US" w:eastAsia="zh-CN" w:bidi="ar"/>
              </w:rPr>
              <w:t>201</w:t>
            </w:r>
            <w:r>
              <w:rPr>
                <w:rStyle w:val="47"/>
                <w:rFonts w:hint="eastAsia"/>
                <w:b w:val="0"/>
                <w:bCs/>
                <w:lang w:val="en-US" w:eastAsia="zh-CN" w:bidi="ar"/>
              </w:rPr>
              <w:t>9</w:t>
            </w:r>
            <w:r>
              <w:rPr>
                <w:rFonts w:ascii="仿宋_GB2312" w:hAnsi="Arial Narrow" w:eastAsia="仿宋_GB2312" w:cs="仿宋_GB2312"/>
                <w:b w:val="0"/>
                <w:bCs/>
                <w:i w:val="0"/>
                <w:color w:val="000000"/>
                <w:kern w:val="0"/>
                <w:sz w:val="24"/>
                <w:szCs w:val="24"/>
                <w:u w:val="none"/>
                <w:lang w:val="en-US" w:eastAsia="zh-CN" w:bidi="ar"/>
              </w:rPr>
              <w:t>年</w:t>
            </w:r>
            <w:r>
              <w:rPr>
                <w:rStyle w:val="47"/>
                <w:b w:val="0"/>
                <w:bCs/>
                <w:lang w:val="en-US" w:eastAsia="zh-CN" w:bidi="ar"/>
              </w:rPr>
              <w:t>12</w:t>
            </w:r>
            <w:r>
              <w:rPr>
                <w:rFonts w:ascii="仿宋_GB2312" w:hAnsi="Arial Narrow" w:eastAsia="仿宋_GB2312" w:cs="仿宋_GB2312"/>
                <w:b w:val="0"/>
                <w:bCs/>
                <w:i w:val="0"/>
                <w:color w:val="000000"/>
                <w:kern w:val="0"/>
                <w:sz w:val="24"/>
                <w:szCs w:val="24"/>
                <w:u w:val="none"/>
                <w:lang w:val="en-US" w:eastAsia="zh-CN" w:bidi="ar"/>
              </w:rPr>
              <w:t>月</w:t>
            </w:r>
            <w:r>
              <w:rPr>
                <w:rStyle w:val="47"/>
                <w:b w:val="0"/>
                <w:bCs/>
                <w:lang w:val="en-US" w:eastAsia="zh-CN" w:bidi="ar"/>
              </w:rPr>
              <w:t>31</w:t>
            </w:r>
            <w:r>
              <w:rPr>
                <w:rFonts w:ascii="仿宋_GB2312" w:hAnsi="Arial Narrow" w:eastAsia="仿宋_GB2312" w:cs="仿宋_GB2312"/>
                <w:b w:val="0"/>
                <w:bCs/>
                <w:i w:val="0"/>
                <w:color w:val="000000"/>
                <w:kern w:val="0"/>
                <w:sz w:val="24"/>
                <w:szCs w:val="24"/>
                <w:u w:val="none"/>
                <w:lang w:val="en-US" w:eastAsia="zh-CN" w:bidi="ar"/>
              </w:rPr>
              <w:t xml:space="preserve">日 </w:t>
            </w:r>
          </w:p>
        </w:tc>
      </w:tr>
      <w:tr>
        <w:tblPrEx>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    流动资产合计</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2,278.21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329,831.50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206,721.29 </w:t>
            </w:r>
          </w:p>
        </w:tc>
      </w:tr>
      <w:tr>
        <w:tblPrEx>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    非流动资产合计</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8,381,659.27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8,470,671.56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8,763,699.08 </w:t>
            </w:r>
          </w:p>
        </w:tc>
      </w:tr>
      <w:tr>
        <w:tblPrEx>
          <w:tblCellMar>
            <w:top w:w="0" w:type="dxa"/>
            <w:left w:w="0" w:type="dxa"/>
            <w:bottom w:w="0" w:type="dxa"/>
            <w:right w:w="0" w:type="dxa"/>
          </w:tblCellMar>
        </w:tblPrEx>
        <w:trPr>
          <w:cantSplit/>
          <w:trHeight w:val="454" w:hRule="atLeast"/>
          <w:tblHeader/>
        </w:trPr>
        <w:tc>
          <w:tcPr>
            <w:tcW w:w="3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      资产总计</w:t>
            </w:r>
          </w:p>
        </w:tc>
        <w:tc>
          <w:tcPr>
            <w:tcW w:w="1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8,383,937.48 </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8,800,503.06 </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8,970,420.37 </w:t>
            </w:r>
          </w:p>
        </w:tc>
      </w:tr>
    </w:tbl>
    <w:p>
      <w:pPr>
        <w:adjustRightInd w:val="0"/>
        <w:snapToGrid w:val="0"/>
        <w:spacing w:beforeLines="50" w:afterLines="50" w:line="440" w:lineRule="atLeast"/>
        <w:rPr>
          <w:rFonts w:hint="eastAsia" w:ascii="仿宋" w:hAnsi="仿宋" w:eastAsia="仿宋" w:cs="仿宋"/>
          <w:sz w:val="28"/>
          <w:szCs w:val="28"/>
        </w:rPr>
      </w:pPr>
      <w:r>
        <w:rPr>
          <w:rFonts w:hint="eastAsia" w:ascii="仿宋" w:hAnsi="仿宋" w:eastAsia="仿宋" w:cs="仿宋"/>
          <w:b/>
          <w:bCs/>
          <w:sz w:val="28"/>
          <w:szCs w:val="28"/>
        </w:rPr>
        <w:t>资产负债表续</w:t>
      </w:r>
    </w:p>
    <w:tbl>
      <w:tblPr>
        <w:tblStyle w:val="21"/>
        <w:tblW w:w="9330" w:type="dxa"/>
        <w:tblInd w:w="-334" w:type="dxa"/>
        <w:tblLayout w:type="fixed"/>
        <w:tblCellMar>
          <w:top w:w="0" w:type="dxa"/>
          <w:left w:w="108" w:type="dxa"/>
          <w:bottom w:w="0" w:type="dxa"/>
          <w:right w:w="108" w:type="dxa"/>
        </w:tblCellMar>
      </w:tblPr>
      <w:tblGrid>
        <w:gridCol w:w="2776"/>
        <w:gridCol w:w="2354"/>
        <w:gridCol w:w="2115"/>
        <w:gridCol w:w="2085"/>
      </w:tblGrid>
      <w:tr>
        <w:tblPrEx>
          <w:tblCellMar>
            <w:top w:w="0" w:type="dxa"/>
            <w:left w:w="108" w:type="dxa"/>
            <w:bottom w:w="0" w:type="dxa"/>
            <w:right w:w="108" w:type="dxa"/>
          </w:tblCellMar>
        </w:tblPrEx>
        <w:trPr>
          <w:trHeight w:val="454" w:hRule="atLeast"/>
        </w:trPr>
        <w:tc>
          <w:tcPr>
            <w:tcW w:w="2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项   目</w:t>
            </w:r>
          </w:p>
        </w:tc>
        <w:tc>
          <w:tcPr>
            <w:tcW w:w="235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Style w:val="47"/>
                <w:b w:val="0"/>
                <w:bCs/>
                <w:lang w:val="en-US" w:eastAsia="zh-CN" w:bidi="ar"/>
              </w:rPr>
              <w:t>202</w:t>
            </w:r>
            <w:r>
              <w:rPr>
                <w:rStyle w:val="47"/>
                <w:rFonts w:hint="eastAsia"/>
                <w:b w:val="0"/>
                <w:bCs/>
                <w:lang w:val="en-US" w:eastAsia="zh-CN" w:bidi="ar"/>
              </w:rPr>
              <w:t>1</w:t>
            </w:r>
            <w:r>
              <w:rPr>
                <w:rFonts w:hint="eastAsia" w:ascii="宋体" w:hAnsi="宋体" w:eastAsia="宋体" w:cs="宋体"/>
                <w:b w:val="0"/>
                <w:bCs/>
                <w:i w:val="0"/>
                <w:color w:val="000000"/>
                <w:kern w:val="0"/>
                <w:sz w:val="24"/>
                <w:szCs w:val="24"/>
                <w:u w:val="none"/>
                <w:lang w:val="en-US" w:eastAsia="zh-CN" w:bidi="ar"/>
              </w:rPr>
              <w:t>年7月</w:t>
            </w:r>
            <w:r>
              <w:rPr>
                <w:rStyle w:val="47"/>
                <w:b w:val="0"/>
                <w:bCs/>
                <w:lang w:val="en-US" w:eastAsia="zh-CN" w:bidi="ar"/>
              </w:rPr>
              <w:t>3</w:t>
            </w:r>
            <w:r>
              <w:rPr>
                <w:rStyle w:val="47"/>
                <w:rFonts w:hint="eastAsia"/>
                <w:b w:val="0"/>
                <w:bCs/>
                <w:lang w:val="en-US" w:eastAsia="zh-CN" w:bidi="ar"/>
              </w:rPr>
              <w:t>1</w:t>
            </w:r>
            <w:r>
              <w:rPr>
                <w:rFonts w:hint="eastAsia" w:ascii="宋体" w:hAnsi="宋体" w:eastAsia="宋体" w:cs="宋体"/>
                <w:b w:val="0"/>
                <w:bCs/>
                <w:i w:val="0"/>
                <w:color w:val="000000"/>
                <w:kern w:val="0"/>
                <w:sz w:val="24"/>
                <w:szCs w:val="24"/>
                <w:u w:val="none"/>
                <w:lang w:val="en-US" w:eastAsia="zh-CN" w:bidi="ar"/>
              </w:rPr>
              <w:t>日</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Style w:val="47"/>
                <w:b w:val="0"/>
                <w:bCs/>
                <w:lang w:val="en-US" w:eastAsia="zh-CN" w:bidi="ar"/>
              </w:rPr>
              <w:t>20</w:t>
            </w:r>
            <w:r>
              <w:rPr>
                <w:rStyle w:val="47"/>
                <w:rFonts w:hint="eastAsia"/>
                <w:b w:val="0"/>
                <w:bCs/>
                <w:lang w:val="en-US" w:eastAsia="zh-CN" w:bidi="ar"/>
              </w:rPr>
              <w:t>20</w:t>
            </w:r>
            <w:r>
              <w:rPr>
                <w:rFonts w:ascii="仿宋_GB2312" w:hAnsi="Arial Narrow" w:eastAsia="仿宋_GB2312" w:cs="仿宋_GB2312"/>
                <w:b w:val="0"/>
                <w:bCs/>
                <w:i w:val="0"/>
                <w:color w:val="000000"/>
                <w:kern w:val="0"/>
                <w:sz w:val="24"/>
                <w:szCs w:val="24"/>
                <w:u w:val="none"/>
                <w:lang w:val="en-US" w:eastAsia="zh-CN" w:bidi="ar"/>
              </w:rPr>
              <w:t>年</w:t>
            </w:r>
            <w:r>
              <w:rPr>
                <w:rStyle w:val="47"/>
                <w:b w:val="0"/>
                <w:bCs/>
                <w:lang w:val="en-US" w:eastAsia="zh-CN" w:bidi="ar"/>
              </w:rPr>
              <w:t>12</w:t>
            </w:r>
            <w:r>
              <w:rPr>
                <w:rFonts w:ascii="仿宋_GB2312" w:hAnsi="Arial Narrow" w:eastAsia="仿宋_GB2312" w:cs="仿宋_GB2312"/>
                <w:b w:val="0"/>
                <w:bCs/>
                <w:i w:val="0"/>
                <w:color w:val="000000"/>
                <w:kern w:val="0"/>
                <w:sz w:val="24"/>
                <w:szCs w:val="24"/>
                <w:u w:val="none"/>
                <w:lang w:val="en-US" w:eastAsia="zh-CN" w:bidi="ar"/>
              </w:rPr>
              <w:t>月</w:t>
            </w:r>
            <w:r>
              <w:rPr>
                <w:rStyle w:val="47"/>
                <w:b w:val="0"/>
                <w:bCs/>
                <w:lang w:val="en-US" w:eastAsia="zh-CN" w:bidi="ar"/>
              </w:rPr>
              <w:t>31</w:t>
            </w:r>
            <w:r>
              <w:rPr>
                <w:rFonts w:ascii="仿宋_GB2312" w:hAnsi="Arial Narrow" w:eastAsia="仿宋_GB2312" w:cs="仿宋_GB2312"/>
                <w:b w:val="0"/>
                <w:bCs/>
                <w:i w:val="0"/>
                <w:color w:val="000000"/>
                <w:kern w:val="0"/>
                <w:sz w:val="24"/>
                <w:szCs w:val="24"/>
                <w:u w:val="none"/>
                <w:lang w:val="en-US" w:eastAsia="zh-CN" w:bidi="ar"/>
              </w:rPr>
              <w:t xml:space="preserve">日 </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Style w:val="47"/>
                <w:b w:val="0"/>
                <w:bCs/>
                <w:lang w:val="en-US" w:eastAsia="zh-CN" w:bidi="ar"/>
              </w:rPr>
              <w:t>201</w:t>
            </w:r>
            <w:r>
              <w:rPr>
                <w:rStyle w:val="47"/>
                <w:rFonts w:hint="eastAsia"/>
                <w:b w:val="0"/>
                <w:bCs/>
                <w:lang w:val="en-US" w:eastAsia="zh-CN" w:bidi="ar"/>
              </w:rPr>
              <w:t>9</w:t>
            </w:r>
            <w:r>
              <w:rPr>
                <w:rFonts w:ascii="仿宋_GB2312" w:hAnsi="Arial Narrow" w:eastAsia="仿宋_GB2312" w:cs="仿宋_GB2312"/>
                <w:b w:val="0"/>
                <w:bCs/>
                <w:i w:val="0"/>
                <w:color w:val="000000"/>
                <w:kern w:val="0"/>
                <w:sz w:val="24"/>
                <w:szCs w:val="24"/>
                <w:u w:val="none"/>
                <w:lang w:val="en-US" w:eastAsia="zh-CN" w:bidi="ar"/>
              </w:rPr>
              <w:t>年</w:t>
            </w:r>
            <w:r>
              <w:rPr>
                <w:rStyle w:val="47"/>
                <w:b w:val="0"/>
                <w:bCs/>
                <w:lang w:val="en-US" w:eastAsia="zh-CN" w:bidi="ar"/>
              </w:rPr>
              <w:t>12</w:t>
            </w:r>
            <w:r>
              <w:rPr>
                <w:rFonts w:ascii="仿宋_GB2312" w:hAnsi="Arial Narrow" w:eastAsia="仿宋_GB2312" w:cs="仿宋_GB2312"/>
                <w:b w:val="0"/>
                <w:bCs/>
                <w:i w:val="0"/>
                <w:color w:val="000000"/>
                <w:kern w:val="0"/>
                <w:sz w:val="24"/>
                <w:szCs w:val="24"/>
                <w:u w:val="none"/>
                <w:lang w:val="en-US" w:eastAsia="zh-CN" w:bidi="ar"/>
              </w:rPr>
              <w:t>月</w:t>
            </w:r>
            <w:r>
              <w:rPr>
                <w:rStyle w:val="47"/>
                <w:b w:val="0"/>
                <w:bCs/>
                <w:lang w:val="en-US" w:eastAsia="zh-CN" w:bidi="ar"/>
              </w:rPr>
              <w:t>31</w:t>
            </w:r>
            <w:r>
              <w:rPr>
                <w:rFonts w:ascii="仿宋_GB2312" w:hAnsi="Arial Narrow" w:eastAsia="仿宋_GB2312" w:cs="仿宋_GB2312"/>
                <w:b w:val="0"/>
                <w:bCs/>
                <w:i w:val="0"/>
                <w:color w:val="000000"/>
                <w:kern w:val="0"/>
                <w:sz w:val="24"/>
                <w:szCs w:val="24"/>
                <w:u w:val="none"/>
                <w:lang w:val="en-US" w:eastAsia="zh-CN" w:bidi="ar"/>
              </w:rPr>
              <w:t xml:space="preserve">日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w:t>
            </w:r>
            <w:r>
              <w:rPr>
                <w:rStyle w:val="44"/>
                <w:b w:val="0"/>
                <w:bCs/>
                <w:lang w:val="en-US" w:eastAsia="zh-CN" w:bidi="ar"/>
              </w:rPr>
              <w:t>流动负债合计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4,600,217.05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5,001,770.97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5,186,671.35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负债合计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4,600,217.05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5,001,770.97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5,186,671.35 </w:t>
            </w:r>
          </w:p>
        </w:tc>
      </w:tr>
      <w:tr>
        <w:tblPrEx>
          <w:tblCellMar>
            <w:top w:w="0" w:type="dxa"/>
            <w:left w:w="108" w:type="dxa"/>
            <w:bottom w:w="0" w:type="dxa"/>
            <w:right w:w="108" w:type="dxa"/>
          </w:tblCellMar>
        </w:tblPrEx>
        <w:trPr>
          <w:trHeight w:val="454"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所有者权益合计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3,783,720.43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3,798,732.09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3,783,749.02 </w:t>
            </w:r>
          </w:p>
        </w:tc>
      </w:tr>
      <w:tr>
        <w:tblPrEx>
          <w:tblCellMar>
            <w:top w:w="0" w:type="dxa"/>
            <w:left w:w="108" w:type="dxa"/>
            <w:bottom w:w="0" w:type="dxa"/>
            <w:right w:w="108" w:type="dxa"/>
          </w:tblCellMar>
        </w:tblPrEx>
        <w:trPr>
          <w:trHeight w:val="366" w:hRule="atLeast"/>
        </w:trPr>
        <w:tc>
          <w:tcPr>
            <w:tcW w:w="2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负债和所有者权益总计</w:t>
            </w:r>
          </w:p>
        </w:tc>
        <w:tc>
          <w:tcPr>
            <w:tcW w:w="2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8,383,937.48 </w:t>
            </w:r>
          </w:p>
        </w:tc>
        <w:tc>
          <w:tcPr>
            <w:tcW w:w="21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8,800,503.06 </w:t>
            </w:r>
          </w:p>
        </w:tc>
        <w:tc>
          <w:tcPr>
            <w:tcW w:w="208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 xml:space="preserve"> 8,970,420.37 </w:t>
            </w:r>
          </w:p>
        </w:tc>
      </w:tr>
    </w:tbl>
    <w:p>
      <w:pPr>
        <w:adjustRightInd w:val="0"/>
        <w:snapToGrid w:val="0"/>
        <w:spacing w:beforeLines="50" w:afterLines="50" w:line="440" w:lineRule="atLeast"/>
        <w:rPr>
          <w:rFonts w:hint="eastAsia" w:ascii="仿宋" w:hAnsi="仿宋" w:eastAsia="仿宋" w:cs="仿宋"/>
          <w:b/>
          <w:bCs/>
          <w:kern w:val="0"/>
          <w:sz w:val="28"/>
          <w:szCs w:val="28"/>
          <w:lang w:val="en-US" w:eastAsia="zh-CN"/>
        </w:rPr>
      </w:pPr>
    </w:p>
    <w:p>
      <w:pPr>
        <w:adjustRightInd w:val="0"/>
        <w:snapToGrid w:val="0"/>
        <w:spacing w:beforeLines="50" w:afterLines="50" w:line="440" w:lineRule="atLeast"/>
        <w:rPr>
          <w:rFonts w:hint="eastAsia" w:ascii="仿宋" w:hAnsi="仿宋" w:eastAsia="仿宋" w:cs="仿宋"/>
          <w:kern w:val="0"/>
          <w:sz w:val="28"/>
          <w:szCs w:val="28"/>
        </w:rPr>
      </w:pPr>
      <w:r>
        <w:rPr>
          <w:rFonts w:hint="eastAsia" w:ascii="仿宋" w:hAnsi="仿宋" w:eastAsia="仿宋" w:cs="仿宋"/>
          <w:b/>
          <w:bCs/>
          <w:kern w:val="0"/>
          <w:sz w:val="28"/>
          <w:szCs w:val="28"/>
          <w:lang w:val="en-US" w:eastAsia="zh-CN"/>
        </w:rPr>
        <w:t>2、</w:t>
      </w:r>
      <w:r>
        <w:rPr>
          <w:rFonts w:hint="eastAsia" w:ascii="仿宋" w:hAnsi="仿宋" w:eastAsia="仿宋" w:cs="仿宋"/>
          <w:b/>
          <w:bCs/>
          <w:kern w:val="0"/>
          <w:sz w:val="28"/>
          <w:szCs w:val="28"/>
        </w:rPr>
        <w:t>利润表</w:t>
      </w:r>
      <w:bookmarkEnd w:id="27"/>
      <w:r>
        <w:rPr>
          <w:rFonts w:hint="eastAsia" w:ascii="仿宋" w:hAnsi="仿宋" w:eastAsia="仿宋" w:cs="仿宋"/>
          <w:b/>
          <w:bCs/>
          <w:kern w:val="0"/>
          <w:sz w:val="28"/>
          <w:szCs w:val="28"/>
        </w:rPr>
        <w:t>（除特别注明外，金额单位均为人民币元</w:t>
      </w:r>
      <w:r>
        <w:rPr>
          <w:rFonts w:hint="eastAsia" w:ascii="仿宋" w:hAnsi="仿宋" w:eastAsia="仿宋" w:cs="仿宋"/>
          <w:kern w:val="0"/>
          <w:sz w:val="28"/>
          <w:szCs w:val="28"/>
        </w:rPr>
        <w:t>）</w:t>
      </w:r>
    </w:p>
    <w:tbl>
      <w:tblPr>
        <w:tblStyle w:val="21"/>
        <w:tblW w:w="9030" w:type="dxa"/>
        <w:tblInd w:w="-261" w:type="dxa"/>
        <w:tblLayout w:type="fixed"/>
        <w:tblCellMar>
          <w:top w:w="0" w:type="dxa"/>
          <w:left w:w="108" w:type="dxa"/>
          <w:bottom w:w="0" w:type="dxa"/>
          <w:right w:w="108" w:type="dxa"/>
        </w:tblCellMar>
      </w:tblPr>
      <w:tblGrid>
        <w:gridCol w:w="4245"/>
        <w:gridCol w:w="2370"/>
        <w:gridCol w:w="2415"/>
      </w:tblGrid>
      <w:tr>
        <w:tblPrEx>
          <w:tblCellMar>
            <w:top w:w="0" w:type="dxa"/>
            <w:left w:w="108" w:type="dxa"/>
            <w:bottom w:w="0" w:type="dxa"/>
            <w:right w:w="108" w:type="dxa"/>
          </w:tblCellMar>
        </w:tblPrEx>
        <w:trPr>
          <w:trHeight w:val="454" w:hRule="atLeast"/>
        </w:trPr>
        <w:tc>
          <w:tcPr>
            <w:tcW w:w="4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 xml:space="preserve">   项   目 </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kern w:val="0"/>
                <w:sz w:val="21"/>
                <w:szCs w:val="21"/>
                <w:lang w:val="en-US"/>
              </w:rPr>
            </w:pPr>
            <w:r>
              <w:rPr>
                <w:rFonts w:hint="default" w:ascii="Arial Narrow" w:hAnsi="Arial Narrow" w:eastAsia="Arial Narrow" w:cs="Arial Narrow"/>
                <w:b/>
                <w:i w:val="0"/>
                <w:color w:val="000000"/>
                <w:kern w:val="0"/>
                <w:sz w:val="24"/>
                <w:szCs w:val="24"/>
                <w:u w:val="none"/>
                <w:lang w:val="en-US" w:eastAsia="zh-CN" w:bidi="ar"/>
              </w:rPr>
              <w:t>202</w:t>
            </w:r>
            <w:r>
              <w:rPr>
                <w:rFonts w:hint="eastAsia" w:ascii="Arial Narrow" w:hAnsi="Arial Narrow" w:eastAsia="Arial Narrow" w:cs="Arial Narrow"/>
                <w:b/>
                <w:i w:val="0"/>
                <w:color w:val="000000"/>
                <w:kern w:val="0"/>
                <w:sz w:val="24"/>
                <w:szCs w:val="24"/>
                <w:u w:val="none"/>
                <w:lang w:val="en-US" w:eastAsia="zh-CN" w:bidi="ar"/>
              </w:rPr>
              <w:t>1</w:t>
            </w:r>
            <w:r>
              <w:rPr>
                <w:rFonts w:hint="eastAsia" w:ascii="宋体" w:hAnsi="宋体" w:eastAsia="宋体" w:cs="宋体"/>
                <w:b/>
                <w:i w:val="0"/>
                <w:color w:val="000000"/>
                <w:kern w:val="0"/>
                <w:sz w:val="24"/>
                <w:szCs w:val="24"/>
                <w:u w:val="none"/>
                <w:lang w:val="en-US" w:eastAsia="zh-CN" w:bidi="ar"/>
              </w:rPr>
              <w:t>年1-7月</w:t>
            </w:r>
          </w:p>
        </w:tc>
        <w:tc>
          <w:tcPr>
            <w:tcW w:w="24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b/>
                <w:i w:val="0"/>
                <w:color w:val="000000"/>
                <w:kern w:val="0"/>
                <w:sz w:val="24"/>
                <w:szCs w:val="24"/>
                <w:u w:val="none"/>
                <w:lang w:val="en-US" w:eastAsia="zh-CN" w:bidi="ar"/>
              </w:rPr>
              <w:t>20</w:t>
            </w:r>
            <w:r>
              <w:rPr>
                <w:rFonts w:hint="eastAsia" w:ascii="Arial Narrow" w:hAnsi="Arial Narrow" w:eastAsia="Arial Narrow" w:cs="Arial Narrow"/>
                <w:b/>
                <w:i w:val="0"/>
                <w:color w:val="000000"/>
                <w:kern w:val="0"/>
                <w:sz w:val="24"/>
                <w:szCs w:val="24"/>
                <w:u w:val="none"/>
                <w:lang w:val="en-US" w:eastAsia="zh-CN" w:bidi="ar"/>
              </w:rPr>
              <w:t>20</w:t>
            </w:r>
            <w:r>
              <w:rPr>
                <w:rFonts w:ascii="仿宋_GB2312" w:hAnsi="Arial Narrow" w:eastAsia="仿宋_GB2312" w:cs="仿宋_GB2312"/>
                <w:b/>
                <w:i w:val="0"/>
                <w:color w:val="000000"/>
                <w:kern w:val="0"/>
                <w:sz w:val="24"/>
                <w:szCs w:val="24"/>
                <w:u w:val="none"/>
                <w:lang w:val="en-US" w:eastAsia="zh-CN" w:bidi="ar"/>
              </w:rPr>
              <w:t>年度</w:t>
            </w:r>
          </w:p>
        </w:tc>
      </w:tr>
      <w:tr>
        <w:tblPrEx>
          <w:tblCellMar>
            <w:top w:w="0" w:type="dxa"/>
            <w:left w:w="108" w:type="dxa"/>
            <w:bottom w:w="0" w:type="dxa"/>
            <w:right w:w="108" w:type="dxa"/>
          </w:tblCellMar>
        </w:tblPrEx>
        <w:trPr>
          <w:trHeight w:val="454" w:hRule="atLeast"/>
        </w:trPr>
        <w:tc>
          <w:tcPr>
            <w:tcW w:w="424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一、营业收入</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367,799.19</w:t>
            </w:r>
          </w:p>
        </w:tc>
        <w:tc>
          <w:tcPr>
            <w:tcW w:w="2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5,033,364.68</w:t>
            </w:r>
          </w:p>
        </w:tc>
      </w:tr>
      <w:tr>
        <w:tblPrEx>
          <w:tblCellMar>
            <w:top w:w="0" w:type="dxa"/>
            <w:left w:w="108" w:type="dxa"/>
            <w:bottom w:w="0" w:type="dxa"/>
            <w:right w:w="108" w:type="dxa"/>
          </w:tblCellMar>
        </w:tblPrEx>
        <w:trPr>
          <w:trHeight w:val="454" w:hRule="atLeast"/>
        </w:trPr>
        <w:tc>
          <w:tcPr>
            <w:tcW w:w="424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二、营业利润(亏损以“-”号填列）</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-15,011.66</w:t>
            </w:r>
          </w:p>
        </w:tc>
        <w:tc>
          <w:tcPr>
            <w:tcW w:w="2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15,841.66</w:t>
            </w:r>
          </w:p>
        </w:tc>
      </w:tr>
      <w:tr>
        <w:tblPrEx>
          <w:tblCellMar>
            <w:top w:w="0" w:type="dxa"/>
            <w:left w:w="108" w:type="dxa"/>
            <w:bottom w:w="0" w:type="dxa"/>
            <w:right w:w="108" w:type="dxa"/>
          </w:tblCellMar>
        </w:tblPrEx>
        <w:trPr>
          <w:trHeight w:val="552" w:hRule="atLeast"/>
        </w:trPr>
        <w:tc>
          <w:tcPr>
            <w:tcW w:w="424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三、利润总额(亏损总额以“-”号填列）</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-15,011.66</w:t>
            </w:r>
          </w:p>
        </w:tc>
        <w:tc>
          <w:tcPr>
            <w:tcW w:w="2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15,841.66</w:t>
            </w:r>
          </w:p>
        </w:tc>
      </w:tr>
      <w:tr>
        <w:tblPrEx>
          <w:tblCellMar>
            <w:top w:w="0" w:type="dxa"/>
            <w:left w:w="108" w:type="dxa"/>
            <w:bottom w:w="0" w:type="dxa"/>
            <w:right w:w="108" w:type="dxa"/>
          </w:tblCellMar>
        </w:tblPrEx>
        <w:trPr>
          <w:trHeight w:val="453" w:hRule="atLeast"/>
        </w:trPr>
        <w:tc>
          <w:tcPr>
            <w:tcW w:w="424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减：所得税费用</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w:t>
            </w:r>
          </w:p>
        </w:tc>
        <w:tc>
          <w:tcPr>
            <w:tcW w:w="2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858.59</w:t>
            </w:r>
          </w:p>
        </w:tc>
      </w:tr>
      <w:tr>
        <w:tblPrEx>
          <w:tblCellMar>
            <w:top w:w="0" w:type="dxa"/>
            <w:left w:w="108" w:type="dxa"/>
            <w:bottom w:w="0" w:type="dxa"/>
            <w:right w:w="108" w:type="dxa"/>
          </w:tblCellMar>
        </w:tblPrEx>
        <w:trPr>
          <w:trHeight w:val="582" w:hRule="atLeast"/>
        </w:trPr>
        <w:tc>
          <w:tcPr>
            <w:tcW w:w="424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四、净利润(净亏损以“-”号填列）</w:t>
            </w:r>
          </w:p>
        </w:tc>
        <w:tc>
          <w:tcPr>
            <w:tcW w:w="23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-15,011.66</w:t>
            </w:r>
          </w:p>
        </w:tc>
        <w:tc>
          <w:tcPr>
            <w:tcW w:w="24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14,983.07</w:t>
            </w:r>
          </w:p>
        </w:tc>
      </w:tr>
    </w:tbl>
    <w:p>
      <w:pPr>
        <w:adjustRightInd w:val="0"/>
        <w:snapToGrid w:val="0"/>
        <w:spacing w:beforeLines="50" w:afterLines="50" w:line="440" w:lineRule="atLeast"/>
        <w:rPr>
          <w:rFonts w:hint="eastAsia" w:ascii="仿宋" w:hAnsi="仿宋" w:eastAsia="仿宋" w:cs="仿宋"/>
          <w:b/>
          <w:bCs/>
          <w:kern w:val="0"/>
          <w:sz w:val="28"/>
          <w:szCs w:val="28"/>
        </w:rPr>
      </w:pPr>
    </w:p>
    <w:p>
      <w:pPr>
        <w:adjustRightInd w:val="0"/>
        <w:snapToGrid w:val="0"/>
        <w:spacing w:beforeLines="50" w:afterLines="50" w:line="440" w:lineRule="atLeast"/>
        <w:rPr>
          <w:rFonts w:hint="eastAsia"/>
        </w:rPr>
      </w:pPr>
      <w:r>
        <w:rPr>
          <w:rFonts w:hint="eastAsia" w:ascii="仿宋" w:hAnsi="仿宋" w:eastAsia="仿宋" w:cs="仿宋"/>
          <w:b/>
          <w:bCs/>
          <w:kern w:val="0"/>
          <w:sz w:val="28"/>
          <w:szCs w:val="28"/>
        </w:rPr>
        <w:t>3、</w:t>
      </w:r>
      <w:bookmarkStart w:id="28" w:name="_Toc248204897"/>
      <w:r>
        <w:rPr>
          <w:rFonts w:hint="eastAsia" w:ascii="仿宋" w:hAnsi="仿宋" w:eastAsia="仿宋" w:cs="仿宋"/>
          <w:b/>
          <w:bCs/>
          <w:kern w:val="0"/>
          <w:sz w:val="28"/>
          <w:szCs w:val="28"/>
        </w:rPr>
        <w:t>现金流量表</w:t>
      </w:r>
      <w:bookmarkEnd w:id="28"/>
      <w:r>
        <w:rPr>
          <w:rFonts w:hint="eastAsia" w:ascii="仿宋" w:hAnsi="仿宋" w:eastAsia="仿宋" w:cs="仿宋"/>
          <w:b/>
          <w:bCs/>
          <w:kern w:val="0"/>
          <w:sz w:val="28"/>
          <w:szCs w:val="28"/>
        </w:rPr>
        <w:t>（除特别注明外，金额单位均为人民币元）</w:t>
      </w:r>
    </w:p>
    <w:tbl>
      <w:tblPr>
        <w:tblStyle w:val="21"/>
        <w:tblW w:w="8819" w:type="dxa"/>
        <w:tblInd w:w="0" w:type="dxa"/>
        <w:tblLayout w:type="fixed"/>
        <w:tblCellMar>
          <w:top w:w="0" w:type="dxa"/>
          <w:left w:w="108" w:type="dxa"/>
          <w:bottom w:w="0" w:type="dxa"/>
          <w:right w:w="108" w:type="dxa"/>
        </w:tblCellMar>
      </w:tblPr>
      <w:tblGrid>
        <w:gridCol w:w="4499"/>
        <w:gridCol w:w="2265"/>
        <w:gridCol w:w="2055"/>
      </w:tblGrid>
      <w:tr>
        <w:tblPrEx>
          <w:tblCellMar>
            <w:top w:w="0" w:type="dxa"/>
            <w:left w:w="108" w:type="dxa"/>
            <w:bottom w:w="0" w:type="dxa"/>
            <w:right w:w="108" w:type="dxa"/>
          </w:tblCellMar>
        </w:tblPrEx>
        <w:trPr>
          <w:trHeight w:val="425" w:hRule="atLeast"/>
        </w:trPr>
        <w:tc>
          <w:tcPr>
            <w:tcW w:w="449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b/>
                <w:i w:val="0"/>
                <w:color w:val="000000"/>
                <w:kern w:val="0"/>
                <w:sz w:val="24"/>
                <w:szCs w:val="24"/>
                <w:u w:val="none"/>
                <w:lang w:val="en-US" w:eastAsia="zh-CN" w:bidi="ar"/>
              </w:rPr>
              <w:t xml:space="preserve"> 项      目 </w:t>
            </w:r>
          </w:p>
        </w:tc>
        <w:tc>
          <w:tcPr>
            <w:tcW w:w="226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b/>
                <w:i w:val="0"/>
                <w:color w:val="000000"/>
                <w:kern w:val="0"/>
                <w:sz w:val="24"/>
                <w:szCs w:val="24"/>
                <w:u w:val="none"/>
                <w:lang w:val="en-US" w:eastAsia="zh-CN" w:bidi="ar"/>
              </w:rPr>
              <w:t>202</w:t>
            </w:r>
            <w:r>
              <w:rPr>
                <w:rFonts w:hint="eastAsia" w:ascii="Arial Narrow" w:hAnsi="Arial Narrow" w:eastAsia="Arial Narrow" w:cs="Arial Narrow"/>
                <w:b/>
                <w:i w:val="0"/>
                <w:color w:val="000000"/>
                <w:kern w:val="0"/>
                <w:sz w:val="24"/>
                <w:szCs w:val="24"/>
                <w:u w:val="none"/>
                <w:lang w:val="en-US" w:eastAsia="zh-CN" w:bidi="ar"/>
              </w:rPr>
              <w:t>1</w:t>
            </w:r>
            <w:r>
              <w:rPr>
                <w:rFonts w:hint="eastAsia" w:ascii="宋体" w:hAnsi="宋体" w:eastAsia="宋体" w:cs="宋体"/>
                <w:b/>
                <w:i w:val="0"/>
                <w:color w:val="000000"/>
                <w:kern w:val="0"/>
                <w:sz w:val="24"/>
                <w:szCs w:val="24"/>
                <w:u w:val="none"/>
                <w:lang w:val="en-US" w:eastAsia="zh-CN" w:bidi="ar"/>
              </w:rPr>
              <w:t>年1-7月</w:t>
            </w:r>
          </w:p>
        </w:tc>
        <w:tc>
          <w:tcPr>
            <w:tcW w:w="205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default" w:ascii="Arial Narrow" w:hAnsi="Arial Narrow" w:eastAsia="Arial Narrow" w:cs="Arial Narrow"/>
                <w:b/>
                <w:i w:val="0"/>
                <w:color w:val="000000"/>
                <w:kern w:val="0"/>
                <w:sz w:val="24"/>
                <w:szCs w:val="24"/>
                <w:u w:val="none"/>
                <w:lang w:val="en-US" w:eastAsia="zh-CN" w:bidi="ar"/>
              </w:rPr>
              <w:t>20</w:t>
            </w:r>
            <w:r>
              <w:rPr>
                <w:rFonts w:hint="eastAsia" w:ascii="Arial Narrow" w:hAnsi="Arial Narrow" w:eastAsia="Arial Narrow" w:cs="Arial Narrow"/>
                <w:b/>
                <w:i w:val="0"/>
                <w:color w:val="000000"/>
                <w:kern w:val="0"/>
                <w:sz w:val="24"/>
                <w:szCs w:val="24"/>
                <w:u w:val="none"/>
                <w:lang w:val="en-US" w:eastAsia="zh-CN" w:bidi="ar"/>
              </w:rPr>
              <w:t>20</w:t>
            </w:r>
            <w:r>
              <w:rPr>
                <w:rFonts w:ascii="仿宋_GB2312" w:hAnsi="Arial Narrow" w:eastAsia="仿宋_GB2312" w:cs="仿宋_GB2312"/>
                <w:b/>
                <w:i w:val="0"/>
                <w:color w:val="000000"/>
                <w:kern w:val="0"/>
                <w:sz w:val="24"/>
                <w:szCs w:val="24"/>
                <w:u w:val="none"/>
                <w:lang w:val="en-US" w:eastAsia="zh-CN" w:bidi="ar"/>
              </w:rPr>
              <w:t>年度</w:t>
            </w: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一、经营活动产生的现金流量：</w:t>
            </w:r>
          </w:p>
        </w:tc>
        <w:tc>
          <w:tcPr>
            <w:tcW w:w="226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b w:val="0"/>
                <w:bCs/>
                <w:kern w:val="0"/>
                <w:sz w:val="21"/>
                <w:szCs w:val="21"/>
              </w:rPr>
            </w:pPr>
          </w:p>
        </w:tc>
        <w:tc>
          <w:tcPr>
            <w:tcW w:w="205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b w:val="0"/>
                <w:bCs/>
                <w:kern w:val="0"/>
                <w:sz w:val="21"/>
                <w:szCs w:val="21"/>
              </w:rPr>
            </w:pP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经营活动产生的现金流量净额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-187,138.93</w:t>
            </w:r>
          </w:p>
        </w:tc>
        <w:tc>
          <w:tcPr>
            <w:tcW w:w="2055" w:type="dxa"/>
            <w:tcBorders>
              <w:top w:val="nil"/>
              <w:left w:val="nil"/>
              <w:bottom w:val="single" w:color="auto" w:sz="4" w:space="0"/>
              <w:right w:val="single" w:color="auto" w:sz="4" w:space="0"/>
            </w:tcBorders>
            <w:shd w:val="clear" w:color="000000" w:fill="FFFFFF"/>
            <w:noWrap/>
            <w:vAlign w:val="bottom"/>
          </w:tcPr>
          <w:p>
            <w:pPr>
              <w:keepNext w:val="0"/>
              <w:keepLines w:val="0"/>
              <w:widowControl/>
              <w:suppressLineNumbers w:val="0"/>
              <w:jc w:val="center"/>
              <w:textAlignment w:val="bottom"/>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1,771,422.86</w:t>
            </w: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二、投资活动产生的现金流量：</w:t>
            </w:r>
          </w:p>
        </w:tc>
        <w:tc>
          <w:tcPr>
            <w:tcW w:w="226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b w:val="0"/>
                <w:bCs/>
                <w:kern w:val="0"/>
                <w:sz w:val="21"/>
                <w:szCs w:val="21"/>
              </w:rPr>
            </w:pPr>
          </w:p>
        </w:tc>
        <w:tc>
          <w:tcPr>
            <w:tcW w:w="205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b w:val="0"/>
                <w:bCs/>
                <w:kern w:val="0"/>
                <w:sz w:val="21"/>
                <w:szCs w:val="21"/>
              </w:rPr>
            </w:pP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 xml:space="preserve">   投资活动产生的现金流量净额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val="0"/>
                <w:bCs/>
                <w:kern w:val="0"/>
                <w:sz w:val="21"/>
                <w:szCs w:val="21"/>
              </w:rPr>
            </w:pPr>
            <w:r>
              <w:rPr>
                <w:rFonts w:hint="eastAsia" w:ascii="仿宋" w:hAnsi="仿宋" w:eastAsia="仿宋" w:cs="仿宋"/>
                <w:b w:val="0"/>
                <w:bCs/>
                <w:i w:val="0"/>
                <w:iCs w:val="0"/>
                <w:color w:val="000000"/>
                <w:kern w:val="0"/>
                <w:sz w:val="21"/>
                <w:szCs w:val="21"/>
                <w:u w:val="none"/>
                <w:lang w:val="en-US" w:eastAsia="zh-CN" w:bidi="ar"/>
              </w:rPr>
              <w:t>-135,853.71</w:t>
            </w:r>
          </w:p>
        </w:tc>
        <w:tc>
          <w:tcPr>
            <w:tcW w:w="2055" w:type="dxa"/>
            <w:tcBorders>
              <w:top w:val="nil"/>
              <w:left w:val="nil"/>
              <w:bottom w:val="single" w:color="auto" w:sz="4" w:space="0"/>
              <w:right w:val="single" w:color="auto" w:sz="4" w:space="0"/>
            </w:tcBorders>
            <w:shd w:val="clear" w:color="000000" w:fill="FFFFFF"/>
            <w:noWrap/>
            <w:vAlign w:val="bottom"/>
          </w:tcPr>
          <w:p>
            <w:pPr>
              <w:keepNext w:val="0"/>
              <w:keepLines w:val="0"/>
              <w:widowControl/>
              <w:suppressLineNumbers w:val="0"/>
              <w:jc w:val="center"/>
              <w:textAlignment w:val="bottom"/>
              <w:rPr>
                <w:rFonts w:hint="eastAsia" w:ascii="仿宋" w:hAnsi="仿宋" w:eastAsia="仿宋" w:cs="仿宋"/>
                <w:b w:val="0"/>
                <w:bCs/>
                <w:kern w:val="0"/>
                <w:sz w:val="21"/>
                <w:szCs w:val="21"/>
              </w:rPr>
            </w:pPr>
            <w:r>
              <w:rPr>
                <w:rFonts w:hint="eastAsia" w:ascii="仿宋" w:hAnsi="仿宋" w:eastAsia="仿宋" w:cs="仿宋"/>
                <w:b w:val="0"/>
                <w:bCs/>
                <w:i w:val="0"/>
                <w:iCs w:val="0"/>
                <w:color w:val="000000"/>
                <w:kern w:val="0"/>
                <w:sz w:val="21"/>
                <w:szCs w:val="21"/>
                <w:u w:val="none"/>
                <w:lang w:val="en-US" w:eastAsia="zh-CN" w:bidi="ar"/>
              </w:rPr>
              <w:t>-1,654,307.48</w:t>
            </w: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三、筹资活动产生的现金流量：</w:t>
            </w:r>
          </w:p>
        </w:tc>
        <w:tc>
          <w:tcPr>
            <w:tcW w:w="226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b w:val="0"/>
                <w:bCs/>
                <w:kern w:val="0"/>
                <w:sz w:val="21"/>
                <w:szCs w:val="21"/>
              </w:rPr>
            </w:pPr>
          </w:p>
        </w:tc>
        <w:tc>
          <w:tcPr>
            <w:tcW w:w="2055"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cs="仿宋"/>
                <w:b w:val="0"/>
                <w:bCs/>
                <w:kern w:val="0"/>
                <w:sz w:val="21"/>
                <w:szCs w:val="21"/>
              </w:rPr>
            </w:pP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kern w:val="0"/>
                <w:sz w:val="24"/>
                <w:szCs w:val="24"/>
              </w:rPr>
            </w:pPr>
            <w:r>
              <w:rPr>
                <w:rFonts w:hint="eastAsia" w:ascii="仿宋" w:hAnsi="仿宋" w:eastAsia="仿宋" w:cs="仿宋"/>
                <w:b w:val="0"/>
                <w:bCs/>
                <w:i w:val="0"/>
                <w:color w:val="000000"/>
                <w:kern w:val="0"/>
                <w:sz w:val="24"/>
                <w:szCs w:val="24"/>
                <w:u w:val="none"/>
                <w:lang w:val="en-US" w:eastAsia="zh-CN" w:bidi="ar"/>
              </w:rPr>
              <w:t>四、汇率变动对现金及现金等价物的影响</w:t>
            </w:r>
          </w:p>
        </w:tc>
        <w:tc>
          <w:tcPr>
            <w:tcW w:w="22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p>
        </w:tc>
        <w:tc>
          <w:tcPr>
            <w:tcW w:w="205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五、现金及现金等价物净增加额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-322,992.64</w:t>
            </w:r>
          </w:p>
        </w:tc>
        <w:tc>
          <w:tcPr>
            <w:tcW w:w="2055" w:type="dxa"/>
            <w:tcBorders>
              <w:top w:val="nil"/>
              <w:left w:val="nil"/>
              <w:bottom w:val="single" w:color="auto" w:sz="4" w:space="0"/>
              <w:right w:val="single" w:color="auto" w:sz="4" w:space="0"/>
            </w:tcBorders>
            <w:shd w:val="clear" w:color="000000" w:fill="FFFFFF"/>
            <w:noWrap/>
            <w:vAlign w:val="bottom"/>
          </w:tcPr>
          <w:p>
            <w:pPr>
              <w:keepNext w:val="0"/>
              <w:keepLines w:val="0"/>
              <w:widowControl/>
              <w:suppressLineNumbers w:val="0"/>
              <w:jc w:val="center"/>
              <w:textAlignment w:val="bottom"/>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117,115.38</w:t>
            </w: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 xml:space="preserve">   加：期初现金及现金等价物余额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323,836.67</w:t>
            </w:r>
          </w:p>
        </w:tc>
        <w:tc>
          <w:tcPr>
            <w:tcW w:w="2055" w:type="dxa"/>
            <w:tcBorders>
              <w:top w:val="nil"/>
              <w:left w:val="nil"/>
              <w:bottom w:val="single" w:color="auto" w:sz="4" w:space="0"/>
              <w:right w:val="single" w:color="auto" w:sz="4" w:space="0"/>
            </w:tcBorders>
            <w:shd w:val="clear" w:color="000000" w:fill="FFFFFF"/>
            <w:noWrap/>
            <w:vAlign w:val="bottom"/>
          </w:tcPr>
          <w:p>
            <w:pPr>
              <w:keepNext w:val="0"/>
              <w:keepLines w:val="0"/>
              <w:widowControl/>
              <w:suppressLineNumbers w:val="0"/>
              <w:jc w:val="center"/>
              <w:textAlignment w:val="bottom"/>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206,721.29</w:t>
            </w:r>
          </w:p>
        </w:tc>
      </w:tr>
      <w:tr>
        <w:tblPrEx>
          <w:tblCellMar>
            <w:top w:w="0" w:type="dxa"/>
            <w:left w:w="108" w:type="dxa"/>
            <w:bottom w:w="0" w:type="dxa"/>
            <w:right w:w="108" w:type="dxa"/>
          </w:tblCellMar>
        </w:tblPrEx>
        <w:trPr>
          <w:trHeight w:val="425" w:hRule="atLeast"/>
        </w:trPr>
        <w:tc>
          <w:tcPr>
            <w:tcW w:w="449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仿宋_GB2312" w:hAnsi="Times New Roman" w:eastAsia="仿宋_GB2312" w:cs="仿宋_GB2312"/>
                <w:b w:val="0"/>
                <w:bCs/>
                <w:i w:val="0"/>
                <w:color w:val="000000"/>
                <w:kern w:val="0"/>
                <w:sz w:val="24"/>
                <w:szCs w:val="24"/>
                <w:u w:val="none"/>
                <w:lang w:val="en-US" w:eastAsia="zh-CN" w:bidi="ar"/>
              </w:rPr>
            </w:pPr>
            <w:r>
              <w:rPr>
                <w:rFonts w:hint="default" w:ascii="仿宋_GB2312" w:hAnsi="Times New Roman" w:eastAsia="仿宋_GB2312" w:cs="仿宋_GB2312"/>
                <w:b w:val="0"/>
                <w:bCs/>
                <w:i w:val="0"/>
                <w:color w:val="000000"/>
                <w:kern w:val="0"/>
                <w:sz w:val="24"/>
                <w:szCs w:val="24"/>
                <w:u w:val="none"/>
                <w:lang w:val="en-US" w:eastAsia="zh-CN" w:bidi="ar"/>
              </w:rPr>
              <w:t>六、</w:t>
            </w:r>
            <w:r>
              <w:rPr>
                <w:rFonts w:hint="eastAsia" w:ascii="仿宋" w:hAnsi="仿宋" w:eastAsia="仿宋" w:cs="仿宋"/>
                <w:b w:val="0"/>
                <w:bCs/>
                <w:i w:val="0"/>
                <w:color w:val="000000"/>
                <w:kern w:val="0"/>
                <w:sz w:val="24"/>
                <w:szCs w:val="24"/>
                <w:u w:val="none"/>
                <w:lang w:val="en-US" w:eastAsia="zh-CN" w:bidi="ar"/>
              </w:rPr>
              <w:t>期末现金及现金等价物余额</w:t>
            </w:r>
          </w:p>
        </w:tc>
        <w:tc>
          <w:tcPr>
            <w:tcW w:w="226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844.03</w:t>
            </w:r>
          </w:p>
        </w:tc>
        <w:tc>
          <w:tcPr>
            <w:tcW w:w="2055" w:type="dxa"/>
            <w:tcBorders>
              <w:top w:val="nil"/>
              <w:left w:val="nil"/>
              <w:bottom w:val="single" w:color="auto" w:sz="4" w:space="0"/>
              <w:right w:val="single" w:color="auto" w:sz="4" w:space="0"/>
            </w:tcBorders>
            <w:shd w:val="clear" w:color="000000" w:fill="FFFFFF"/>
            <w:noWrap/>
            <w:vAlign w:val="bottom"/>
          </w:tcPr>
          <w:p>
            <w:pPr>
              <w:keepNext w:val="0"/>
              <w:keepLines w:val="0"/>
              <w:widowControl/>
              <w:suppressLineNumbers w:val="0"/>
              <w:jc w:val="center"/>
              <w:textAlignment w:val="bottom"/>
              <w:rPr>
                <w:rFonts w:hint="eastAsia" w:ascii="仿宋" w:hAnsi="仿宋" w:eastAsia="仿宋" w:cs="仿宋"/>
                <w:b w:val="0"/>
                <w:bCs/>
                <w:i w:val="0"/>
                <w:iCs w:val="0"/>
                <w:color w:val="000000"/>
                <w:kern w:val="0"/>
                <w:sz w:val="21"/>
                <w:szCs w:val="21"/>
                <w:u w:val="none"/>
                <w:lang w:val="en-US" w:eastAsia="zh-CN" w:bidi="ar"/>
              </w:rPr>
            </w:pPr>
            <w:r>
              <w:rPr>
                <w:rFonts w:hint="eastAsia" w:ascii="仿宋" w:hAnsi="仿宋" w:eastAsia="仿宋" w:cs="仿宋"/>
                <w:b w:val="0"/>
                <w:bCs/>
                <w:i w:val="0"/>
                <w:iCs w:val="0"/>
                <w:color w:val="000000"/>
                <w:kern w:val="0"/>
                <w:sz w:val="21"/>
                <w:szCs w:val="21"/>
                <w:u w:val="none"/>
                <w:lang w:val="en-US" w:eastAsia="zh-CN" w:bidi="ar"/>
              </w:rPr>
              <w:t>323,836.67</w:t>
            </w:r>
          </w:p>
        </w:tc>
      </w:tr>
    </w:tbl>
    <w:p>
      <w:pPr>
        <w:pStyle w:val="4"/>
        <w:ind w:firstLine="643"/>
        <w:rPr>
          <w:rFonts w:ascii="仿宋" w:hAnsi="仿宋" w:cs="仿宋"/>
          <w:kern w:val="44"/>
          <w:sz w:val="32"/>
        </w:rPr>
      </w:pPr>
      <w:bookmarkStart w:id="29" w:name="_Toc19129"/>
      <w:r>
        <w:rPr>
          <w:rFonts w:hint="eastAsia" w:ascii="仿宋" w:hAnsi="仿宋" w:cs="仿宋"/>
          <w:kern w:val="44"/>
          <w:sz w:val="32"/>
          <w:lang w:eastAsia="zh-CN"/>
        </w:rPr>
        <w:t>六</w:t>
      </w:r>
      <w:r>
        <w:rPr>
          <w:rFonts w:hint="eastAsia" w:ascii="仿宋" w:hAnsi="仿宋" w:cs="仿宋"/>
          <w:kern w:val="44"/>
          <w:sz w:val="32"/>
        </w:rPr>
        <w:t>、</w:t>
      </w:r>
      <w:r>
        <w:rPr>
          <w:rFonts w:hint="eastAsia" w:ascii="仿宋" w:hAnsi="仿宋" w:cs="仿宋"/>
          <w:kern w:val="44"/>
          <w:sz w:val="32"/>
          <w:highlight w:val="none"/>
        </w:rPr>
        <w:t>公司经营目标和计划</w:t>
      </w:r>
      <w:bookmarkEnd w:id="29"/>
    </w:p>
    <w:p>
      <w:pPr>
        <w:adjustRightInd w:val="0"/>
        <w:spacing w:before="156" w:beforeLines="50" w:after="156" w:afterLines="50" w:line="360" w:lineRule="auto"/>
        <w:ind w:firstLine="560" w:firstLineChars="200"/>
        <w:rPr>
          <w:rFonts w:ascii="宋体" w:hAnsi="宋体"/>
          <w:szCs w:val="28"/>
        </w:rPr>
      </w:pPr>
      <w:r>
        <w:rPr>
          <w:rFonts w:hint="eastAsia" w:ascii="宋体" w:hAnsi="宋体"/>
          <w:szCs w:val="28"/>
        </w:rPr>
        <w:t>（一）发展目标</w:t>
      </w:r>
    </w:p>
    <w:p>
      <w:pPr>
        <w:ind w:firstLine="480"/>
      </w:pPr>
      <w:r>
        <w:rPr>
          <w:rFonts w:hint="eastAsia"/>
        </w:rPr>
        <w:t>1、进行市场开拓。公司在维护好现有市场的同时，积极开拓寻找新的市场，同时公司加大外省市场开拓力度，对中大型服务企业加大服务力度，在开拓新市场的同时不断巩固现有市场，做到保质、保量完成任务，诚信经营，在市场中寻找市场，不断扩大市场份额，并努力提高公司的知名度和影响力。</w:t>
      </w:r>
    </w:p>
    <w:p>
      <w:pPr>
        <w:ind w:firstLine="480"/>
        <w:rPr>
          <w:rFonts w:hint="eastAsia" w:ascii="宋体" w:hAnsi="宋体" w:cs="宋体"/>
        </w:rPr>
      </w:pPr>
      <w:r>
        <w:rPr>
          <w:rFonts w:hint="eastAsia"/>
        </w:rPr>
        <w:t>2、加大对车辆、服务、管理等方面的投入。车辆、服务、管理等方面的投入会显著提升公司的整体竞争力，从而提高公司在市场中的份额。</w:t>
      </w:r>
    </w:p>
    <w:p>
      <w:pPr>
        <w:adjustRightInd w:val="0"/>
        <w:spacing w:before="156" w:beforeLines="50" w:after="156" w:afterLines="50" w:line="360" w:lineRule="auto"/>
        <w:ind w:firstLine="560" w:firstLineChars="200"/>
        <w:rPr>
          <w:rFonts w:ascii="宋体" w:hAnsi="宋体"/>
          <w:szCs w:val="28"/>
        </w:rPr>
      </w:pPr>
      <w:r>
        <w:rPr>
          <w:rFonts w:hint="eastAsia" w:ascii="宋体" w:hAnsi="宋体"/>
          <w:szCs w:val="28"/>
        </w:rPr>
        <w:t>（二）具体发展业务计划</w:t>
      </w:r>
    </w:p>
    <w:p>
      <w:pPr>
        <w:spacing w:after="156" w:afterLines="50" w:line="360" w:lineRule="auto"/>
        <w:ind w:firstLine="560" w:firstLineChars="200"/>
        <w:rPr>
          <w:rFonts w:ascii="仿宋" w:hAnsi="仿宋" w:eastAsia="仿宋" w:cstheme="minorEastAsia"/>
          <w:b w:val="0"/>
          <w:bCs w:val="0"/>
          <w:sz w:val="28"/>
          <w:szCs w:val="28"/>
        </w:rPr>
      </w:pPr>
      <w:r>
        <w:rPr>
          <w:rFonts w:hint="eastAsia" w:ascii="仿宋" w:hAnsi="仿宋" w:eastAsia="仿宋" w:cstheme="minorEastAsia"/>
          <w:b w:val="0"/>
          <w:bCs w:val="0"/>
          <w:sz w:val="28"/>
          <w:szCs w:val="28"/>
        </w:rPr>
        <w:t>1、</w:t>
      </w:r>
      <w:r>
        <w:rPr>
          <w:rFonts w:hint="eastAsia" w:ascii="仿宋" w:hAnsi="仿宋" w:cstheme="minorEastAsia"/>
          <w:b w:val="0"/>
          <w:bCs w:val="0"/>
          <w:sz w:val="28"/>
          <w:szCs w:val="28"/>
          <w:lang w:eastAsia="zh-CN"/>
        </w:rPr>
        <w:t>开拓市场</w:t>
      </w:r>
    </w:p>
    <w:p>
      <w:pPr>
        <w:spacing w:after="156" w:afterLines="50" w:line="360" w:lineRule="auto"/>
        <w:ind w:firstLine="560" w:firstLineChars="200"/>
        <w:rPr>
          <w:rFonts w:ascii="仿宋" w:hAnsi="仿宋" w:eastAsia="仿宋" w:cstheme="minorEastAsia"/>
          <w:sz w:val="28"/>
          <w:szCs w:val="28"/>
        </w:rPr>
      </w:pPr>
      <w:r>
        <w:rPr>
          <w:rFonts w:hint="eastAsia" w:ascii="宋体" w:hAnsi="宋体"/>
        </w:rPr>
        <w:t>公司未来将立足于山东区域，建立辐射全国性运输及服务网络。继续扩大业务的服务区域，形成服务范围内的有效链接，提高运输的效率，同时提升对客户的服务质量和运输的运营效率，稳定优质客户资源，拓展新的服务种类</w:t>
      </w:r>
      <w:r>
        <w:rPr>
          <w:rFonts w:hint="eastAsia" w:ascii="仿宋" w:hAnsi="仿宋" w:eastAsia="仿宋" w:cstheme="minorEastAsia"/>
          <w:sz w:val="28"/>
          <w:szCs w:val="28"/>
        </w:rPr>
        <w:t>。</w:t>
      </w:r>
    </w:p>
    <w:p>
      <w:pPr>
        <w:adjustRightInd/>
        <w:snapToGrid/>
        <w:spacing w:line="360" w:lineRule="auto"/>
        <w:ind w:firstLine="480"/>
        <w:rPr>
          <w:rFonts w:hint="eastAsia" w:ascii="宋体" w:hAnsi="宋体"/>
        </w:rPr>
      </w:pPr>
      <w:r>
        <w:rPr>
          <w:rFonts w:hint="eastAsia" w:ascii="宋体" w:hAnsi="宋体"/>
        </w:rPr>
        <w:t>2、扩大服务领域范围</w:t>
      </w:r>
    </w:p>
    <w:p>
      <w:pPr>
        <w:adjustRightInd/>
        <w:snapToGrid/>
        <w:spacing w:line="360" w:lineRule="auto"/>
        <w:ind w:firstLine="480"/>
        <w:rPr>
          <w:rFonts w:ascii="仿宋" w:hAnsi="仿宋" w:eastAsia="仿宋" w:cstheme="minorEastAsia"/>
          <w:sz w:val="28"/>
          <w:szCs w:val="28"/>
        </w:rPr>
      </w:pPr>
      <w:r>
        <w:rPr>
          <w:rFonts w:hint="eastAsia" w:ascii="宋体" w:hAnsi="宋体"/>
        </w:rPr>
        <w:t>随着整个经济形势和消费习惯发生改变，消费领域的物流需求在整个行业中的比重越来越大，为了适应这一变化，公司在战略上及早布局调整服务领域范围，在深入服务生产领域的基础上，扩大消费领域服务，继续加大在先进管理工具和技术上的投入，提高对互联网、电商等客户的服务需求的反应能力，使公司在以技术进步为主要推动力的互联网时代，能够更好的提供自己的服务支持，并提高 公司的反应速度和运营效率。</w:t>
      </w:r>
    </w:p>
    <w:p>
      <w:pPr>
        <w:adjustRightInd/>
        <w:snapToGrid/>
        <w:spacing w:line="360" w:lineRule="auto"/>
        <w:ind w:firstLine="480"/>
        <w:rPr>
          <w:rFonts w:hint="eastAsia" w:ascii="宋体" w:hAnsi="宋体"/>
        </w:rPr>
      </w:pPr>
      <w:r>
        <w:rPr>
          <w:rFonts w:hint="eastAsia" w:ascii="宋体" w:hAnsi="宋体"/>
        </w:rPr>
        <w:t>3、推进物流平台的建设</w:t>
      </w:r>
    </w:p>
    <w:p>
      <w:pPr>
        <w:adjustRightInd/>
        <w:snapToGrid/>
        <w:spacing w:line="360" w:lineRule="auto"/>
        <w:ind w:firstLine="480"/>
        <w:rPr>
          <w:rFonts w:ascii="仿宋" w:hAnsi="仿宋" w:eastAsia="仿宋" w:cstheme="minorEastAsia"/>
          <w:sz w:val="28"/>
          <w:szCs w:val="28"/>
        </w:rPr>
      </w:pPr>
      <w:r>
        <w:rPr>
          <w:rFonts w:hint="eastAsia" w:ascii="宋体" w:hAnsi="宋体"/>
        </w:rPr>
        <w:t>随着互联网技术的不断发展和运用，各种以提升整个行业运营效率为目的的平台应运而生。公司未来将积极投入以资源整合和提升整体运营效率为背景的物流平台建设，尤其是效率提升明显的专业化物流平台，充分发挥各类资源的集合效应，不断提升综合物流服务能力，凸显公司自身的比较优势，不断巩固和提升 公司的核心竞争优势。</w:t>
      </w:r>
    </w:p>
    <w:p>
      <w:pPr>
        <w:spacing w:after="156" w:afterLines="50" w:line="360" w:lineRule="auto"/>
        <w:ind w:firstLine="560" w:firstLineChars="200"/>
        <w:rPr>
          <w:rFonts w:ascii="仿宋" w:hAnsi="仿宋" w:eastAsia="仿宋" w:cstheme="minorEastAsia"/>
          <w:b w:val="0"/>
          <w:bCs w:val="0"/>
          <w:sz w:val="28"/>
          <w:szCs w:val="28"/>
        </w:rPr>
      </w:pPr>
      <w:r>
        <w:rPr>
          <w:rFonts w:hint="eastAsia" w:ascii="仿宋" w:hAnsi="仿宋" w:eastAsia="仿宋" w:cstheme="minorEastAsia"/>
          <w:b w:val="0"/>
          <w:bCs w:val="0"/>
          <w:sz w:val="28"/>
          <w:szCs w:val="28"/>
        </w:rPr>
        <w:t xml:space="preserve">4、人力资源发展计划 </w:t>
      </w:r>
    </w:p>
    <w:p>
      <w:pPr>
        <w:spacing w:after="156" w:afterLines="50" w:line="360" w:lineRule="auto"/>
        <w:ind w:firstLine="560" w:firstLineChars="200"/>
        <w:rPr>
          <w:rFonts w:ascii="仿宋" w:hAnsi="仿宋" w:eastAsia="仿宋" w:cstheme="minorEastAsia"/>
          <w:sz w:val="28"/>
          <w:szCs w:val="28"/>
        </w:rPr>
      </w:pPr>
      <w:r>
        <w:rPr>
          <w:rFonts w:hint="eastAsia" w:ascii="仿宋" w:hAnsi="仿宋" w:eastAsia="仿宋" w:cstheme="minorEastAsia"/>
          <w:sz w:val="28"/>
          <w:szCs w:val="28"/>
        </w:rPr>
        <w:t xml:space="preserve">人才战略是增强企业竞争实力、保持企业可持续发展的源泉。公司在扩大市场规模的同时，将根据业务需求，完善公司的人才引进、培训、稳定和竞争机制，建立一支技术一流、素质过硬的员工队伍。 </w:t>
      </w:r>
    </w:p>
    <w:p>
      <w:pPr>
        <w:spacing w:after="156" w:afterLines="50" w:line="360" w:lineRule="auto"/>
        <w:ind w:firstLine="560" w:firstLineChars="200"/>
        <w:rPr>
          <w:rFonts w:ascii="仿宋" w:hAnsi="仿宋" w:eastAsia="仿宋" w:cstheme="minorEastAsia"/>
          <w:sz w:val="28"/>
          <w:szCs w:val="28"/>
        </w:rPr>
      </w:pPr>
      <w:r>
        <w:rPr>
          <w:rFonts w:hint="eastAsia" w:ascii="仿宋" w:hAnsi="仿宋" w:eastAsia="仿宋" w:cstheme="minorEastAsia"/>
          <w:sz w:val="28"/>
          <w:szCs w:val="28"/>
        </w:rPr>
        <w:t xml:space="preserve">（1）优化人才结构，逐步提高公司员工的学历水平，聘请有实践经验与能力的管理人才、资本运作人才，建立一支具有战斗力、能适应市场需求的人才队伍。 </w:t>
      </w:r>
    </w:p>
    <w:p>
      <w:pPr>
        <w:spacing w:after="156" w:afterLines="50" w:line="360" w:lineRule="auto"/>
        <w:ind w:firstLine="560" w:firstLineChars="200"/>
        <w:rPr>
          <w:rFonts w:hint="eastAsia" w:ascii="仿宋" w:hAnsi="仿宋" w:eastAsia="仿宋" w:cstheme="minorEastAsia"/>
          <w:sz w:val="28"/>
          <w:szCs w:val="28"/>
        </w:rPr>
      </w:pPr>
      <w:r>
        <w:rPr>
          <w:rFonts w:hint="eastAsia" w:ascii="仿宋" w:hAnsi="仿宋" w:eastAsia="仿宋" w:cstheme="minorEastAsia"/>
          <w:sz w:val="28"/>
          <w:szCs w:val="28"/>
        </w:rPr>
        <w:t>（2）完善员工培训体系，有计划、有目标地组织各种类型的培训，鼓励员工参加各种继续教育，以及优化员工知识结构、培养和提高全体员工的工作能力、技能水平、品质意识及企业文化意识，最大限度地发挥每个人的潜能。</w:t>
      </w:r>
    </w:p>
    <w:p>
      <w:pPr>
        <w:pStyle w:val="2"/>
        <w:rPr>
          <w:rFonts w:hint="eastAsia" w:ascii="仿宋" w:hAnsi="仿宋" w:eastAsia="仿宋" w:cstheme="minorEastAsia"/>
          <w:sz w:val="28"/>
          <w:szCs w:val="28"/>
        </w:rPr>
      </w:pPr>
    </w:p>
    <w:p>
      <w:pPr>
        <w:pStyle w:val="2"/>
        <w:rPr>
          <w:rFonts w:hint="eastAsia" w:ascii="仿宋" w:hAnsi="仿宋" w:eastAsia="仿宋" w:cstheme="minorEastAsia"/>
          <w:sz w:val="28"/>
          <w:szCs w:val="28"/>
        </w:rPr>
      </w:pPr>
    </w:p>
    <w:p>
      <w:pPr>
        <w:pStyle w:val="2"/>
        <w:rPr>
          <w:rFonts w:hint="eastAsia" w:ascii="仿宋" w:hAnsi="仿宋" w:eastAsia="仿宋" w:cstheme="minorEastAsia"/>
          <w:sz w:val="28"/>
          <w:szCs w:val="28"/>
        </w:rPr>
      </w:pPr>
    </w:p>
    <w:p>
      <w:pPr>
        <w:pStyle w:val="2"/>
        <w:rPr>
          <w:rFonts w:hint="eastAsia" w:ascii="仿宋" w:hAnsi="仿宋" w:eastAsia="仿宋" w:cstheme="minorEastAsia"/>
          <w:sz w:val="28"/>
          <w:szCs w:val="28"/>
        </w:rPr>
      </w:pPr>
    </w:p>
    <w:p>
      <w:pPr>
        <w:pStyle w:val="2"/>
        <w:rPr>
          <w:rFonts w:hint="eastAsia" w:ascii="仿宋" w:hAnsi="仿宋" w:eastAsia="仿宋" w:cstheme="minorEastAsia"/>
          <w:sz w:val="28"/>
          <w:szCs w:val="28"/>
        </w:rPr>
      </w:pPr>
    </w:p>
    <w:p>
      <w:pPr>
        <w:pStyle w:val="2"/>
        <w:rPr>
          <w:rFonts w:hint="eastAsia" w:ascii="仿宋" w:hAnsi="仿宋" w:eastAsia="仿宋" w:cstheme="minorEastAsia"/>
          <w:sz w:val="28"/>
          <w:szCs w:val="28"/>
        </w:rPr>
      </w:pPr>
    </w:p>
    <w:p>
      <w:pPr>
        <w:pStyle w:val="2"/>
        <w:rPr>
          <w:rFonts w:hint="eastAsia" w:ascii="仿宋" w:hAnsi="仿宋" w:eastAsia="仿宋" w:cstheme="minorEastAsia"/>
          <w:sz w:val="28"/>
          <w:szCs w:val="28"/>
        </w:rPr>
      </w:pPr>
    </w:p>
    <w:p>
      <w:pPr>
        <w:pStyle w:val="3"/>
        <w:numPr>
          <w:ilvl w:val="0"/>
          <w:numId w:val="1"/>
        </w:numPr>
        <w:jc w:val="center"/>
        <w:rPr>
          <w:rFonts w:ascii="仿宋" w:hAnsi="仿宋" w:cs="仿宋"/>
          <w:sz w:val="32"/>
          <w:szCs w:val="32"/>
        </w:rPr>
      </w:pPr>
      <w:bookmarkStart w:id="30" w:name="_Toc5479"/>
      <w:r>
        <w:rPr>
          <w:rFonts w:hint="eastAsia" w:ascii="仿宋" w:hAnsi="仿宋" w:cs="仿宋"/>
          <w:sz w:val="32"/>
          <w:szCs w:val="32"/>
          <w:lang w:eastAsia="zh-CN"/>
        </w:rPr>
        <w:t>本次挂牌的有关机构</w:t>
      </w:r>
      <w:bookmarkEnd w:id="30"/>
    </w:p>
    <w:p>
      <w:pPr>
        <w:pStyle w:val="4"/>
        <w:bidi w:val="0"/>
      </w:pPr>
      <w:bookmarkStart w:id="31" w:name="_Toc17166"/>
      <w:r>
        <w:rPr>
          <w:rFonts w:hint="eastAsia"/>
          <w:lang w:eastAsia="zh-CN"/>
        </w:rPr>
        <w:t>一、</w:t>
      </w:r>
      <w:r>
        <w:rPr>
          <w:rFonts w:hint="eastAsia"/>
        </w:rPr>
        <w:t>推荐机构</w:t>
      </w:r>
      <w:bookmarkEnd w:id="31"/>
    </w:p>
    <w:p>
      <w:pPr>
        <w:ind w:firstLine="560" w:firstLineChars="200"/>
        <w:rPr>
          <w:rFonts w:hint="eastAsia" w:ascii="仿宋" w:hAnsi="仿宋" w:eastAsia="仿宋" w:cs="仿宋"/>
          <w:szCs w:val="28"/>
          <w:lang w:eastAsia="zh-CN"/>
        </w:rPr>
      </w:pPr>
      <w:r>
        <w:rPr>
          <w:rFonts w:hint="eastAsia" w:ascii="仿宋" w:hAnsi="仿宋" w:cs="仿宋"/>
          <w:szCs w:val="28"/>
        </w:rPr>
        <w:t>名    称：</w:t>
      </w:r>
      <w:r>
        <w:rPr>
          <w:rFonts w:hint="eastAsia" w:ascii="仿宋" w:hAnsi="仿宋" w:cs="仿宋"/>
          <w:szCs w:val="28"/>
          <w:lang w:eastAsia="zh-CN"/>
        </w:rPr>
        <w:t>山东君瑞资本管理有限公司</w:t>
      </w:r>
    </w:p>
    <w:p>
      <w:pPr>
        <w:ind w:firstLine="560" w:firstLineChars="200"/>
        <w:rPr>
          <w:rFonts w:hint="default" w:ascii="仿宋" w:hAnsi="仿宋" w:eastAsia="仿宋" w:cs="仿宋"/>
          <w:szCs w:val="28"/>
          <w:lang w:val="en-US" w:eastAsia="zh-CN"/>
        </w:rPr>
      </w:pPr>
      <w:r>
        <w:rPr>
          <w:rFonts w:hint="eastAsia" w:ascii="仿宋" w:hAnsi="仿宋" w:cs="仿宋"/>
          <w:szCs w:val="28"/>
        </w:rPr>
        <w:t>办公地址：山东淄博</w:t>
      </w:r>
      <w:r>
        <w:rPr>
          <w:rFonts w:hint="eastAsia" w:ascii="仿宋" w:hAnsi="仿宋" w:cs="仿宋"/>
          <w:szCs w:val="28"/>
          <w:lang w:eastAsia="zh-CN"/>
        </w:rPr>
        <w:t>市张店区人民西路</w:t>
      </w:r>
      <w:r>
        <w:rPr>
          <w:rFonts w:hint="eastAsia" w:ascii="仿宋" w:hAnsi="仿宋" w:cs="仿宋"/>
          <w:szCs w:val="28"/>
          <w:lang w:val="en-US" w:eastAsia="zh-CN"/>
        </w:rPr>
        <w:t>228号金融大厦1118室</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法定代表人：任方永</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推荐经办人：任方永、刘丽萍</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电    话：0533-2860003</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传    真：0533-2860003</w:t>
      </w:r>
    </w:p>
    <w:p>
      <w:pPr>
        <w:pStyle w:val="4"/>
        <w:bidi w:val="0"/>
      </w:pPr>
      <w:bookmarkStart w:id="32" w:name="_Toc10097"/>
      <w:r>
        <w:rPr>
          <w:rFonts w:hint="eastAsia"/>
          <w:lang w:eastAsia="zh-CN"/>
        </w:rPr>
        <w:t>二、</w:t>
      </w:r>
      <w:r>
        <w:rPr>
          <w:rFonts w:hint="eastAsia"/>
        </w:rPr>
        <w:t>审计机构</w:t>
      </w:r>
      <w:bookmarkEnd w:id="32"/>
    </w:p>
    <w:p>
      <w:pPr>
        <w:adjustRightInd w:val="0"/>
        <w:snapToGrid w:val="0"/>
        <w:spacing w:line="360" w:lineRule="auto"/>
        <w:ind w:firstLine="560" w:firstLineChars="200"/>
        <w:rPr>
          <w:rFonts w:hint="eastAsia" w:ascii="仿宋" w:hAnsi="仿宋" w:eastAsia="仿宋" w:cs="仿宋"/>
          <w:szCs w:val="28"/>
          <w:lang w:eastAsia="zh-CN"/>
        </w:rPr>
      </w:pPr>
      <w:r>
        <w:rPr>
          <w:rFonts w:hint="eastAsia" w:ascii="仿宋" w:hAnsi="仿宋" w:cs="仿宋"/>
          <w:szCs w:val="28"/>
        </w:rPr>
        <w:t>名    称：</w:t>
      </w:r>
      <w:r>
        <w:rPr>
          <w:rFonts w:hint="eastAsia" w:ascii="仿宋" w:hAnsi="仿宋" w:cs="仿宋"/>
          <w:szCs w:val="28"/>
          <w:lang w:eastAsia="zh-CN"/>
        </w:rPr>
        <w:t>山东九方会计师事务所有限公司</w:t>
      </w:r>
    </w:p>
    <w:p>
      <w:pPr>
        <w:adjustRightInd w:val="0"/>
        <w:snapToGrid w:val="0"/>
        <w:spacing w:line="360" w:lineRule="auto"/>
        <w:ind w:left="1960" w:leftChars="200" w:hanging="1400" w:hangingChars="500"/>
        <w:rPr>
          <w:rFonts w:hint="default" w:ascii="仿宋" w:hAnsi="仿宋" w:eastAsia="仿宋" w:cs="仿宋"/>
          <w:szCs w:val="28"/>
          <w:lang w:val="en-US" w:eastAsia="zh-CN"/>
        </w:rPr>
      </w:pPr>
      <w:r>
        <w:rPr>
          <w:rFonts w:hint="eastAsia" w:ascii="仿宋" w:hAnsi="仿宋" w:cs="仿宋"/>
          <w:szCs w:val="28"/>
        </w:rPr>
        <w:t>办公地址：</w:t>
      </w:r>
      <w:r>
        <w:rPr>
          <w:rFonts w:hint="eastAsia" w:ascii="仿宋" w:hAnsi="仿宋" w:cs="仿宋"/>
          <w:szCs w:val="28"/>
          <w:lang w:eastAsia="zh-CN"/>
        </w:rPr>
        <w:t>张店区华光路</w:t>
      </w:r>
      <w:r>
        <w:rPr>
          <w:rFonts w:hint="eastAsia" w:ascii="仿宋" w:hAnsi="仿宋" w:cs="仿宋"/>
          <w:szCs w:val="28"/>
          <w:lang w:val="en-US" w:eastAsia="zh-CN"/>
        </w:rPr>
        <w:t>123号巴黎春天公寓A-702</w:t>
      </w:r>
    </w:p>
    <w:p>
      <w:pPr>
        <w:adjustRightInd w:val="0"/>
        <w:snapToGrid w:val="0"/>
        <w:spacing w:line="360" w:lineRule="auto"/>
        <w:ind w:firstLine="560" w:firstLineChars="200"/>
        <w:rPr>
          <w:rFonts w:hint="eastAsia" w:ascii="仿宋" w:hAnsi="仿宋" w:eastAsia="仿宋" w:cs="仿宋"/>
          <w:szCs w:val="28"/>
          <w:lang w:eastAsia="zh-CN"/>
        </w:rPr>
      </w:pPr>
      <w:r>
        <w:rPr>
          <w:rFonts w:hint="eastAsia" w:ascii="仿宋" w:hAnsi="仿宋" w:cs="仿宋"/>
          <w:szCs w:val="28"/>
        </w:rPr>
        <w:t>负责人：</w:t>
      </w:r>
      <w:r>
        <w:rPr>
          <w:rFonts w:hint="eastAsia" w:ascii="仿宋" w:hAnsi="仿宋" w:cs="仿宋"/>
          <w:szCs w:val="28"/>
          <w:lang w:eastAsia="zh-CN"/>
        </w:rPr>
        <w:t>侯宗刚</w:t>
      </w:r>
    </w:p>
    <w:p>
      <w:pPr>
        <w:adjustRightInd w:val="0"/>
        <w:snapToGrid w:val="0"/>
        <w:spacing w:line="360" w:lineRule="auto"/>
        <w:ind w:firstLine="560" w:firstLineChars="200"/>
        <w:rPr>
          <w:rFonts w:hint="eastAsia" w:ascii="仿宋" w:hAnsi="仿宋" w:eastAsia="仿宋" w:cs="仿宋"/>
          <w:szCs w:val="28"/>
          <w:lang w:eastAsia="zh-CN"/>
        </w:rPr>
      </w:pPr>
      <w:r>
        <w:rPr>
          <w:rFonts w:hint="eastAsia" w:ascii="仿宋" w:hAnsi="仿宋" w:cs="仿宋"/>
          <w:szCs w:val="28"/>
        </w:rPr>
        <w:t>经办注册会计师：</w:t>
      </w:r>
      <w:r>
        <w:rPr>
          <w:rFonts w:hint="eastAsia" w:ascii="仿宋" w:hAnsi="仿宋" w:cs="仿宋"/>
          <w:szCs w:val="28"/>
          <w:lang w:eastAsia="zh-CN"/>
        </w:rPr>
        <w:t>耿振峰、孙炳旭</w:t>
      </w:r>
    </w:p>
    <w:p>
      <w:pPr>
        <w:adjustRightInd w:val="0"/>
        <w:snapToGrid w:val="0"/>
        <w:spacing w:line="360" w:lineRule="auto"/>
        <w:ind w:firstLine="560" w:firstLineChars="200"/>
        <w:rPr>
          <w:rFonts w:hint="default" w:ascii="仿宋" w:hAnsi="仿宋" w:eastAsia="仿宋" w:cs="仿宋"/>
          <w:szCs w:val="28"/>
          <w:lang w:val="en-US" w:eastAsia="zh-CN"/>
        </w:rPr>
      </w:pPr>
      <w:r>
        <w:rPr>
          <w:rFonts w:hint="eastAsia" w:ascii="仿宋" w:hAnsi="仿宋" w:cs="仿宋"/>
          <w:szCs w:val="28"/>
        </w:rPr>
        <w:t>电    话：</w:t>
      </w:r>
      <w:r>
        <w:rPr>
          <w:rFonts w:hint="eastAsia" w:ascii="仿宋" w:hAnsi="仿宋" w:cs="仿宋"/>
          <w:szCs w:val="28"/>
          <w:lang w:val="en-US" w:eastAsia="zh-CN"/>
        </w:rPr>
        <w:t>0533-2779160</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传    真：</w:t>
      </w:r>
      <w:r>
        <w:rPr>
          <w:rFonts w:hint="eastAsia" w:ascii="仿宋" w:hAnsi="仿宋" w:cs="仿宋"/>
          <w:szCs w:val="28"/>
          <w:lang w:val="en-US" w:eastAsia="zh-CN"/>
        </w:rPr>
        <w:t>0533-2779160</w:t>
      </w:r>
    </w:p>
    <w:p>
      <w:pPr>
        <w:adjustRightInd w:val="0"/>
        <w:snapToGrid w:val="0"/>
        <w:spacing w:line="360" w:lineRule="auto"/>
        <w:ind w:firstLine="560" w:firstLineChars="200"/>
        <w:rPr>
          <w:rFonts w:ascii="仿宋" w:hAnsi="仿宋" w:cs="仿宋"/>
          <w:szCs w:val="28"/>
        </w:rPr>
      </w:pPr>
    </w:p>
    <w:p>
      <w:pPr>
        <w:pStyle w:val="4"/>
        <w:bidi w:val="0"/>
      </w:pPr>
      <w:bookmarkStart w:id="33" w:name="_Toc12017"/>
      <w:r>
        <w:rPr>
          <w:rFonts w:hint="eastAsia"/>
          <w:lang w:eastAsia="zh-CN"/>
        </w:rPr>
        <w:t>三、</w:t>
      </w:r>
      <w:r>
        <w:rPr>
          <w:rFonts w:hint="eastAsia"/>
        </w:rPr>
        <w:t>股权登记托管机构</w:t>
      </w:r>
      <w:bookmarkEnd w:id="33"/>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名    称：齐鲁股权交易中心有限公司</w:t>
      </w:r>
    </w:p>
    <w:p>
      <w:pPr>
        <w:adjustRightInd w:val="0"/>
        <w:snapToGrid w:val="0"/>
        <w:spacing w:line="360" w:lineRule="auto"/>
        <w:ind w:firstLine="560" w:firstLineChars="200"/>
        <w:rPr>
          <w:rFonts w:hint="eastAsia" w:ascii="仿宋" w:hAnsi="仿宋" w:eastAsia="仿宋" w:cs="仿宋"/>
          <w:szCs w:val="28"/>
          <w:lang w:eastAsia="zh-CN"/>
        </w:rPr>
      </w:pPr>
      <w:r>
        <w:rPr>
          <w:rFonts w:hint="eastAsia" w:ascii="仿宋" w:hAnsi="仿宋" w:cs="仿宋"/>
          <w:szCs w:val="28"/>
        </w:rPr>
        <w:t>注册地址：淄博市张店区人民路228号</w:t>
      </w:r>
      <w:r>
        <w:rPr>
          <w:rFonts w:hint="eastAsia" w:ascii="仿宋" w:hAnsi="仿宋" w:cs="仿宋"/>
          <w:szCs w:val="28"/>
          <w:lang w:eastAsia="zh-CN"/>
        </w:rPr>
        <w:t>金融大夏</w:t>
      </w:r>
    </w:p>
    <w:p>
      <w:pPr>
        <w:adjustRightInd w:val="0"/>
        <w:snapToGrid w:val="0"/>
        <w:spacing w:line="360" w:lineRule="auto"/>
        <w:ind w:firstLine="560" w:firstLineChars="200"/>
        <w:rPr>
          <w:rFonts w:ascii="仿宋" w:hAnsi="仿宋" w:cs="仿宋"/>
          <w:szCs w:val="28"/>
        </w:rPr>
      </w:pPr>
      <w:r>
        <w:rPr>
          <w:rFonts w:hint="eastAsia" w:ascii="仿宋" w:hAnsi="仿宋" w:cs="仿宋"/>
          <w:szCs w:val="28"/>
        </w:rPr>
        <w:t>电    话：0533-2778470</w:t>
      </w:r>
    </w:p>
    <w:p>
      <w:pPr>
        <w:adjustRightInd w:val="0"/>
        <w:snapToGrid w:val="0"/>
        <w:spacing w:line="360" w:lineRule="auto"/>
        <w:ind w:firstLine="560" w:firstLineChars="200"/>
        <w:rPr>
          <w:rFonts w:ascii="宋体" w:hAnsi="宋体"/>
          <w:sz w:val="24"/>
        </w:rPr>
      </w:pPr>
      <w:r>
        <w:rPr>
          <w:rFonts w:hint="eastAsia" w:ascii="仿宋" w:hAnsi="仿宋" w:cs="仿宋"/>
          <w:szCs w:val="28"/>
        </w:rPr>
        <w:t>传    真：0533-2778470</w:t>
      </w:r>
    </w:p>
    <w:p/>
    <w:p>
      <w:pPr>
        <w:pStyle w:val="4"/>
        <w:ind w:firstLine="562"/>
        <w:rPr>
          <w:rFonts w:hint="eastAsia" w:ascii="仿宋" w:hAnsi="仿宋" w:cs="仿宋"/>
          <w:sz w:val="32"/>
          <w:szCs w:val="32"/>
          <w:lang w:val="en-US" w:eastAsia="zh-CN"/>
        </w:rPr>
      </w:pPr>
      <w:bookmarkStart w:id="34" w:name="_Toc28907"/>
    </w:p>
    <w:bookmarkEnd w:id="34"/>
    <w:p>
      <w:pPr>
        <w:adjustRightInd w:val="0"/>
        <w:snapToGrid w:val="0"/>
        <w:spacing w:line="440" w:lineRule="atLeast"/>
        <w:jc w:val="both"/>
        <w:rPr>
          <w:rFonts w:ascii="宋体" w:hAnsi="宋体"/>
          <w:color w:val="FF0000"/>
          <w:sz w:val="24"/>
        </w:rPr>
      </w:pPr>
    </w:p>
    <w:p>
      <w:pPr>
        <w:adjustRightInd w:val="0"/>
        <w:snapToGrid w:val="0"/>
        <w:spacing w:line="360" w:lineRule="auto"/>
        <w:ind w:firstLine="480" w:firstLineChars="200"/>
        <w:rPr>
          <w:rFonts w:ascii="宋体" w:hAnsi="宋体"/>
          <w:sz w:val="24"/>
        </w:rPr>
      </w:pPr>
    </w:p>
    <w:p>
      <w:pPr>
        <w:spacing w:line="360" w:lineRule="auto"/>
        <w:ind w:firstLine="560" w:firstLineChars="200"/>
        <w:jc w:val="left"/>
        <w:rPr>
          <w:rFonts w:ascii="仿宋" w:hAnsi="仿宋"/>
          <w:color w:val="000000"/>
        </w:rPr>
      </w:pPr>
      <w:r>
        <w:rPr>
          <w:rFonts w:hint="eastAsia" w:ascii="仿宋" w:hAnsi="仿宋"/>
          <w:color w:val="000000"/>
        </w:rPr>
        <w:t>（本页无正文，为《关于</w:t>
      </w:r>
      <w:r>
        <w:rPr>
          <w:rFonts w:hint="eastAsia" w:ascii="仿宋" w:hAnsi="仿宋"/>
          <w:color w:val="000000"/>
          <w:lang w:eastAsia="zh-CN"/>
        </w:rPr>
        <w:t>淄博锦茂运输股份有限公司</w:t>
      </w:r>
      <w:r>
        <w:rPr>
          <w:rFonts w:hint="eastAsia" w:ascii="仿宋" w:hAnsi="仿宋"/>
          <w:color w:val="000000"/>
        </w:rPr>
        <w:t>股票在齐鲁股权交易中心有限公司挂牌转让的挂牌说明书</w:t>
      </w:r>
      <w:r>
        <w:rPr>
          <w:rFonts w:hint="eastAsia" w:ascii="仿宋" w:hAnsi="仿宋"/>
          <w:color w:val="000000"/>
          <w:lang w:eastAsia="zh-CN"/>
        </w:rPr>
        <w:t>摘要</w:t>
      </w:r>
      <w:r>
        <w:rPr>
          <w:rFonts w:hint="eastAsia" w:ascii="仿宋" w:hAnsi="仿宋"/>
          <w:color w:val="000000"/>
        </w:rPr>
        <w:t xml:space="preserve">》之签字盖章页） </w:t>
      </w:r>
    </w:p>
    <w:p>
      <w:pPr>
        <w:autoSpaceDE w:val="0"/>
        <w:autoSpaceDN w:val="0"/>
        <w:ind w:firstLine="482"/>
        <w:rPr>
          <w:rFonts w:ascii="宋体" w:hAnsi="宋体" w:cs="AdobeHeitiStd-Regular"/>
          <w:b/>
          <w:color w:val="FF0000"/>
          <w:kern w:val="0"/>
          <w:szCs w:val="28"/>
        </w:rPr>
      </w:pPr>
    </w:p>
    <w:p>
      <w:pPr>
        <w:rPr>
          <w:rFonts w:ascii="宋体" w:hAnsi="宋体"/>
          <w:szCs w:val="28"/>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480"/>
        <w:jc w:val="center"/>
        <w:rPr>
          <w:rFonts w:ascii="仿宋" w:hAnsi="仿宋" w:cs="仿宋"/>
          <w:szCs w:val="28"/>
        </w:rPr>
      </w:pPr>
      <w:r>
        <w:rPr>
          <w:rFonts w:ascii="宋体" w:hAnsi="宋体"/>
        </w:rPr>
        <w:t xml:space="preserve">    </w:t>
      </w:r>
      <w:r>
        <w:rPr>
          <w:rFonts w:hint="eastAsia" w:ascii="宋体" w:hAnsi="宋体"/>
        </w:rPr>
        <w:t xml:space="preserve">  </w:t>
      </w:r>
      <w:r>
        <w:rPr>
          <w:rFonts w:hint="eastAsia" w:ascii="仿宋" w:hAnsi="仿宋" w:cs="仿宋"/>
          <w:szCs w:val="28"/>
        </w:rPr>
        <w:t>挂牌公司：</w:t>
      </w:r>
      <w:r>
        <w:rPr>
          <w:rFonts w:hint="eastAsia" w:ascii="仿宋" w:hAnsi="仿宋" w:cs="仿宋"/>
          <w:szCs w:val="28"/>
          <w:lang w:eastAsia="zh-CN"/>
        </w:rPr>
        <w:t>淄博锦茂运输股份有限公司</w:t>
      </w:r>
      <w:r>
        <w:rPr>
          <w:rFonts w:hint="eastAsia" w:ascii="仿宋" w:hAnsi="仿宋" w:cs="仿宋"/>
          <w:szCs w:val="28"/>
        </w:rPr>
        <w:t>（盖章）</w:t>
      </w:r>
    </w:p>
    <w:p>
      <w:pPr>
        <w:ind w:firstLine="480"/>
        <w:jc w:val="center"/>
        <w:rPr>
          <w:rFonts w:ascii="仿宋" w:hAnsi="仿宋" w:cs="仿宋"/>
          <w:szCs w:val="28"/>
        </w:rPr>
      </w:pPr>
    </w:p>
    <w:p>
      <w:pPr>
        <w:rPr>
          <w:rFonts w:ascii="仿宋" w:hAnsi="仿宋" w:cs="仿宋"/>
          <w:szCs w:val="28"/>
        </w:rPr>
      </w:pPr>
    </w:p>
    <w:p>
      <w:pPr>
        <w:rPr>
          <w:rFonts w:ascii="仿宋" w:hAnsi="仿宋" w:cs="仿宋"/>
          <w:szCs w:val="28"/>
        </w:rPr>
      </w:pPr>
    </w:p>
    <w:p>
      <w:pPr>
        <w:ind w:firstLine="480"/>
        <w:jc w:val="center"/>
        <w:rPr>
          <w:rFonts w:ascii="仿宋" w:hAnsi="仿宋" w:cs="仿宋"/>
          <w:szCs w:val="28"/>
        </w:rPr>
      </w:pPr>
      <w:r>
        <w:rPr>
          <w:rFonts w:hint="eastAsia" w:ascii="仿宋" w:hAnsi="仿宋" w:cs="仿宋"/>
          <w:szCs w:val="28"/>
        </w:rPr>
        <w:t xml:space="preserve">     推荐机构：</w:t>
      </w:r>
      <w:r>
        <w:rPr>
          <w:rFonts w:hint="eastAsia" w:ascii="仿宋" w:hAnsi="仿宋" w:cs="仿宋"/>
          <w:szCs w:val="28"/>
          <w:lang w:eastAsia="zh-CN"/>
        </w:rPr>
        <w:t>山东君瑞资本管理有限公司</w:t>
      </w:r>
      <w:r>
        <w:rPr>
          <w:rFonts w:hint="eastAsia" w:ascii="仿宋" w:hAnsi="仿宋" w:cs="仿宋"/>
          <w:szCs w:val="28"/>
        </w:rPr>
        <w:t>（盖章）</w:t>
      </w:r>
    </w:p>
    <w:p>
      <w:pPr>
        <w:rPr>
          <w:rFonts w:ascii="仿宋" w:hAnsi="仿宋" w:cs="仿宋"/>
          <w:szCs w:val="28"/>
        </w:rPr>
      </w:pPr>
    </w:p>
    <w:p>
      <w:pPr>
        <w:rPr>
          <w:rFonts w:ascii="仿宋" w:hAnsi="仿宋" w:cs="仿宋"/>
          <w:szCs w:val="28"/>
        </w:rPr>
      </w:pPr>
    </w:p>
    <w:p>
      <w:pPr>
        <w:rPr>
          <w:rFonts w:ascii="宋体" w:hAnsi="宋体"/>
          <w:b/>
          <w:bCs/>
          <w:sz w:val="24"/>
        </w:rPr>
      </w:pPr>
      <w:r>
        <w:rPr>
          <w:rFonts w:hint="eastAsia" w:ascii="仿宋" w:hAnsi="仿宋" w:cs="仿宋"/>
          <w:szCs w:val="28"/>
        </w:rPr>
        <w:t xml:space="preserve">                                         202</w:t>
      </w:r>
      <w:r>
        <w:rPr>
          <w:rFonts w:hint="eastAsia" w:ascii="仿宋" w:hAnsi="仿宋" w:cs="仿宋"/>
          <w:szCs w:val="28"/>
          <w:lang w:val="en-US" w:eastAsia="zh-CN"/>
        </w:rPr>
        <w:t>1</w:t>
      </w:r>
      <w:r>
        <w:rPr>
          <w:rFonts w:hint="eastAsia" w:ascii="仿宋" w:hAnsi="仿宋" w:cs="仿宋"/>
          <w:szCs w:val="28"/>
        </w:rPr>
        <w:t>年</w:t>
      </w:r>
      <w:r>
        <w:rPr>
          <w:rFonts w:hint="eastAsia" w:ascii="仿宋" w:hAnsi="仿宋" w:cs="仿宋"/>
          <w:szCs w:val="28"/>
          <w:lang w:val="en-US" w:eastAsia="zh-CN"/>
        </w:rPr>
        <w:t>8</w:t>
      </w:r>
      <w:r>
        <w:rPr>
          <w:rFonts w:hint="eastAsia" w:ascii="仿宋" w:hAnsi="仿宋" w:cs="仿宋"/>
          <w:szCs w:val="28"/>
        </w:rPr>
        <w:t>月</w:t>
      </w:r>
      <w:r>
        <w:rPr>
          <w:rFonts w:hint="eastAsia" w:ascii="仿宋" w:hAnsi="仿宋" w:cs="仿宋"/>
          <w:szCs w:val="28"/>
          <w:lang w:val="en-US" w:eastAsia="zh-CN"/>
        </w:rPr>
        <w:t>20</w:t>
      </w:r>
      <w:bookmarkStart w:id="35" w:name="_GoBack"/>
      <w:bookmarkEnd w:id="35"/>
      <w:r>
        <w:rPr>
          <w:rFonts w:hint="eastAsia" w:ascii="仿宋" w:hAnsi="仿宋" w:cs="仿宋"/>
          <w:szCs w:val="28"/>
          <w:highlight w:val="none"/>
        </w:rPr>
        <w:t>日</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Sans Serif">
    <w:altName w:val="Arial"/>
    <w:panose1 w:val="020B0500000000000000"/>
    <w:charset w:val="00"/>
    <w:family w:val="auto"/>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AdobeHeitiStd-Regular">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Chars="111"/>
    </w:pPr>
    <w:r>
      <w:pict>
        <v:shape id="_x0000_s2049" o:spid="_x0000_s2049" o:spt="202" type="#_x0000_t202" style="position:absolute;left:0pt;margin-top:-0.15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ind w:firstLine="360"/>
                  <w:rPr>
                    <w:rFonts w:eastAsia="仿宋"/>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113</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rPr>
        <w:rFonts w:hint="eastAsia" w:eastAsia="宋体"/>
        <w:sz w:val="24"/>
        <w:szCs w:val="24"/>
        <w:lang w:eastAsia="zh-CN"/>
      </w:rPr>
    </w:pPr>
    <w:r>
      <w:rPr>
        <w:rFonts w:hint="eastAsia"/>
        <w:sz w:val="24"/>
        <w:szCs w:val="24"/>
        <w:lang w:val="en-US" w:eastAsia="zh-CN"/>
      </w:rPr>
      <w:t>淄博锦茂运输股份有限公司</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挂牌转让说明书</w:t>
    </w:r>
    <w:r>
      <w:rPr>
        <w:rFonts w:hint="eastAsia"/>
        <w:sz w:val="24"/>
        <w:szCs w:val="24"/>
        <w:lang w:eastAsia="zh-CN"/>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712410"/>
    <w:multiLevelType w:val="singleLevel"/>
    <w:tmpl w:val="F0712410"/>
    <w:lvl w:ilvl="0" w:tentative="0">
      <w:start w:val="1"/>
      <w:numFmt w:val="decimal"/>
      <w:suff w:val="nothing"/>
      <w:lvlText w:val="%1、"/>
      <w:lvlJc w:val="left"/>
    </w:lvl>
  </w:abstractNum>
  <w:abstractNum w:abstractNumId="1">
    <w:nsid w:val="F269D6BD"/>
    <w:multiLevelType w:val="singleLevel"/>
    <w:tmpl w:val="F269D6BD"/>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7666"/>
    <w:rsid w:val="00036790"/>
    <w:rsid w:val="0004198C"/>
    <w:rsid w:val="000454B7"/>
    <w:rsid w:val="000613CA"/>
    <w:rsid w:val="00064F22"/>
    <w:rsid w:val="00070792"/>
    <w:rsid w:val="00072FB6"/>
    <w:rsid w:val="00075277"/>
    <w:rsid w:val="00086D00"/>
    <w:rsid w:val="000963AC"/>
    <w:rsid w:val="00097814"/>
    <w:rsid w:val="000B15DA"/>
    <w:rsid w:val="000B5FE8"/>
    <w:rsid w:val="000B66F8"/>
    <w:rsid w:val="000C2224"/>
    <w:rsid w:val="000C4BCE"/>
    <w:rsid w:val="000D20AA"/>
    <w:rsid w:val="000D5123"/>
    <w:rsid w:val="000E1667"/>
    <w:rsid w:val="000E333D"/>
    <w:rsid w:val="000F7E91"/>
    <w:rsid w:val="001156BF"/>
    <w:rsid w:val="00136316"/>
    <w:rsid w:val="00140A54"/>
    <w:rsid w:val="00146CEA"/>
    <w:rsid w:val="00172A27"/>
    <w:rsid w:val="00172C86"/>
    <w:rsid w:val="00192783"/>
    <w:rsid w:val="001B28DF"/>
    <w:rsid w:val="001B4EDD"/>
    <w:rsid w:val="001C0231"/>
    <w:rsid w:val="001D1563"/>
    <w:rsid w:val="001D4D2E"/>
    <w:rsid w:val="001E1153"/>
    <w:rsid w:val="001E3B56"/>
    <w:rsid w:val="001F1D1E"/>
    <w:rsid w:val="002021FA"/>
    <w:rsid w:val="002125BA"/>
    <w:rsid w:val="00215BB5"/>
    <w:rsid w:val="00255529"/>
    <w:rsid w:val="00256526"/>
    <w:rsid w:val="0026143F"/>
    <w:rsid w:val="0027398E"/>
    <w:rsid w:val="00276C64"/>
    <w:rsid w:val="00297AB0"/>
    <w:rsid w:val="002B0C24"/>
    <w:rsid w:val="002C00B0"/>
    <w:rsid w:val="002C33A4"/>
    <w:rsid w:val="002D1407"/>
    <w:rsid w:val="002F1FB3"/>
    <w:rsid w:val="00300611"/>
    <w:rsid w:val="0030515D"/>
    <w:rsid w:val="00327EDE"/>
    <w:rsid w:val="00340F96"/>
    <w:rsid w:val="00345A9E"/>
    <w:rsid w:val="00346DBE"/>
    <w:rsid w:val="00347E89"/>
    <w:rsid w:val="00352BE1"/>
    <w:rsid w:val="00353F3F"/>
    <w:rsid w:val="00355188"/>
    <w:rsid w:val="0036350D"/>
    <w:rsid w:val="00363C0D"/>
    <w:rsid w:val="00365140"/>
    <w:rsid w:val="00381446"/>
    <w:rsid w:val="00383D03"/>
    <w:rsid w:val="00387507"/>
    <w:rsid w:val="00391E1D"/>
    <w:rsid w:val="003A1B4B"/>
    <w:rsid w:val="003B365E"/>
    <w:rsid w:val="003B6D97"/>
    <w:rsid w:val="003D49BC"/>
    <w:rsid w:val="003E4D33"/>
    <w:rsid w:val="003E7EDB"/>
    <w:rsid w:val="00416BD2"/>
    <w:rsid w:val="00416E2F"/>
    <w:rsid w:val="00422E1A"/>
    <w:rsid w:val="004367E4"/>
    <w:rsid w:val="00436F6D"/>
    <w:rsid w:val="00447D36"/>
    <w:rsid w:val="00447D5E"/>
    <w:rsid w:val="004558E3"/>
    <w:rsid w:val="00457FF1"/>
    <w:rsid w:val="00463422"/>
    <w:rsid w:val="00466336"/>
    <w:rsid w:val="00480A50"/>
    <w:rsid w:val="00483B04"/>
    <w:rsid w:val="0048547D"/>
    <w:rsid w:val="004B0254"/>
    <w:rsid w:val="004B3240"/>
    <w:rsid w:val="004C1311"/>
    <w:rsid w:val="004D13D6"/>
    <w:rsid w:val="004D1F5C"/>
    <w:rsid w:val="004D5D32"/>
    <w:rsid w:val="004E5ADC"/>
    <w:rsid w:val="00521686"/>
    <w:rsid w:val="00525E1F"/>
    <w:rsid w:val="00526262"/>
    <w:rsid w:val="00532958"/>
    <w:rsid w:val="00541811"/>
    <w:rsid w:val="00553617"/>
    <w:rsid w:val="00562D30"/>
    <w:rsid w:val="00567DC2"/>
    <w:rsid w:val="005B074C"/>
    <w:rsid w:val="005B07D4"/>
    <w:rsid w:val="005C1BA4"/>
    <w:rsid w:val="005C2474"/>
    <w:rsid w:val="005D5F45"/>
    <w:rsid w:val="005E105C"/>
    <w:rsid w:val="005E387A"/>
    <w:rsid w:val="005E7C0E"/>
    <w:rsid w:val="005F2834"/>
    <w:rsid w:val="00613AB8"/>
    <w:rsid w:val="00613F5E"/>
    <w:rsid w:val="00615BE8"/>
    <w:rsid w:val="00622D78"/>
    <w:rsid w:val="006376C2"/>
    <w:rsid w:val="006514A8"/>
    <w:rsid w:val="00655CDE"/>
    <w:rsid w:val="00661255"/>
    <w:rsid w:val="00675D70"/>
    <w:rsid w:val="006878B2"/>
    <w:rsid w:val="00692116"/>
    <w:rsid w:val="0069330C"/>
    <w:rsid w:val="00693AE4"/>
    <w:rsid w:val="006A454A"/>
    <w:rsid w:val="006A715D"/>
    <w:rsid w:val="006C0786"/>
    <w:rsid w:val="006C249F"/>
    <w:rsid w:val="006C689B"/>
    <w:rsid w:val="006D2A62"/>
    <w:rsid w:val="006D43DB"/>
    <w:rsid w:val="006E7F41"/>
    <w:rsid w:val="006F0776"/>
    <w:rsid w:val="006F65E6"/>
    <w:rsid w:val="0070456F"/>
    <w:rsid w:val="00714A7F"/>
    <w:rsid w:val="007168EC"/>
    <w:rsid w:val="00721A88"/>
    <w:rsid w:val="0073320B"/>
    <w:rsid w:val="00741D31"/>
    <w:rsid w:val="00744A3B"/>
    <w:rsid w:val="00745808"/>
    <w:rsid w:val="00746813"/>
    <w:rsid w:val="00761AAD"/>
    <w:rsid w:val="00765392"/>
    <w:rsid w:val="007702AF"/>
    <w:rsid w:val="00771470"/>
    <w:rsid w:val="00772277"/>
    <w:rsid w:val="00777493"/>
    <w:rsid w:val="00777FBC"/>
    <w:rsid w:val="00782A94"/>
    <w:rsid w:val="00790457"/>
    <w:rsid w:val="00792B13"/>
    <w:rsid w:val="007A5F72"/>
    <w:rsid w:val="007C0970"/>
    <w:rsid w:val="007C1B3B"/>
    <w:rsid w:val="007E4466"/>
    <w:rsid w:val="007E4A94"/>
    <w:rsid w:val="007F00F4"/>
    <w:rsid w:val="0080222F"/>
    <w:rsid w:val="0081322B"/>
    <w:rsid w:val="0084165D"/>
    <w:rsid w:val="00844134"/>
    <w:rsid w:val="00883B79"/>
    <w:rsid w:val="008931BB"/>
    <w:rsid w:val="00895875"/>
    <w:rsid w:val="008A0858"/>
    <w:rsid w:val="008A34F3"/>
    <w:rsid w:val="008B24C6"/>
    <w:rsid w:val="008B3479"/>
    <w:rsid w:val="008B4689"/>
    <w:rsid w:val="008B6490"/>
    <w:rsid w:val="008C783B"/>
    <w:rsid w:val="008D05BD"/>
    <w:rsid w:val="008D5BCB"/>
    <w:rsid w:val="008E4A64"/>
    <w:rsid w:val="0090293D"/>
    <w:rsid w:val="00907DF0"/>
    <w:rsid w:val="00910445"/>
    <w:rsid w:val="00915CCA"/>
    <w:rsid w:val="009254DD"/>
    <w:rsid w:val="00940E7E"/>
    <w:rsid w:val="00966908"/>
    <w:rsid w:val="00972E0A"/>
    <w:rsid w:val="00981CDE"/>
    <w:rsid w:val="00982424"/>
    <w:rsid w:val="009932BB"/>
    <w:rsid w:val="009A35D8"/>
    <w:rsid w:val="009A4DAB"/>
    <w:rsid w:val="009B4E90"/>
    <w:rsid w:val="009C079A"/>
    <w:rsid w:val="009C3CAC"/>
    <w:rsid w:val="009D7DEA"/>
    <w:rsid w:val="009F1565"/>
    <w:rsid w:val="009F1D3C"/>
    <w:rsid w:val="00A22ACD"/>
    <w:rsid w:val="00A233E4"/>
    <w:rsid w:val="00A30B65"/>
    <w:rsid w:val="00A5491D"/>
    <w:rsid w:val="00A71ED5"/>
    <w:rsid w:val="00A87969"/>
    <w:rsid w:val="00A95F12"/>
    <w:rsid w:val="00AA21E5"/>
    <w:rsid w:val="00AB071B"/>
    <w:rsid w:val="00AB1C02"/>
    <w:rsid w:val="00AC3BB7"/>
    <w:rsid w:val="00AD242E"/>
    <w:rsid w:val="00AE1DCF"/>
    <w:rsid w:val="00AE78EA"/>
    <w:rsid w:val="00B025BB"/>
    <w:rsid w:val="00B11042"/>
    <w:rsid w:val="00B159D3"/>
    <w:rsid w:val="00B367BD"/>
    <w:rsid w:val="00B441BB"/>
    <w:rsid w:val="00B540F6"/>
    <w:rsid w:val="00B67B9C"/>
    <w:rsid w:val="00B71A02"/>
    <w:rsid w:val="00B80EE6"/>
    <w:rsid w:val="00BB39EF"/>
    <w:rsid w:val="00BC175F"/>
    <w:rsid w:val="00BC574E"/>
    <w:rsid w:val="00BD7F1A"/>
    <w:rsid w:val="00BE664C"/>
    <w:rsid w:val="00BE72B8"/>
    <w:rsid w:val="00BF02BF"/>
    <w:rsid w:val="00C034CC"/>
    <w:rsid w:val="00C12968"/>
    <w:rsid w:val="00C13873"/>
    <w:rsid w:val="00C32546"/>
    <w:rsid w:val="00C37534"/>
    <w:rsid w:val="00C566A9"/>
    <w:rsid w:val="00C606FD"/>
    <w:rsid w:val="00C66918"/>
    <w:rsid w:val="00C743C9"/>
    <w:rsid w:val="00C92BB2"/>
    <w:rsid w:val="00CA2E17"/>
    <w:rsid w:val="00CA3E71"/>
    <w:rsid w:val="00CB01A8"/>
    <w:rsid w:val="00CB4D69"/>
    <w:rsid w:val="00CD39B5"/>
    <w:rsid w:val="00CF24FA"/>
    <w:rsid w:val="00D01478"/>
    <w:rsid w:val="00D021FE"/>
    <w:rsid w:val="00D0301E"/>
    <w:rsid w:val="00D12B9D"/>
    <w:rsid w:val="00D232F9"/>
    <w:rsid w:val="00D2616F"/>
    <w:rsid w:val="00D30F40"/>
    <w:rsid w:val="00D350C5"/>
    <w:rsid w:val="00D45434"/>
    <w:rsid w:val="00D56476"/>
    <w:rsid w:val="00D7013D"/>
    <w:rsid w:val="00D755FC"/>
    <w:rsid w:val="00D76470"/>
    <w:rsid w:val="00D90135"/>
    <w:rsid w:val="00D945D4"/>
    <w:rsid w:val="00DB3AD8"/>
    <w:rsid w:val="00DC3EF9"/>
    <w:rsid w:val="00DC77F3"/>
    <w:rsid w:val="00DE29CC"/>
    <w:rsid w:val="00DF5A62"/>
    <w:rsid w:val="00E04E34"/>
    <w:rsid w:val="00E1751F"/>
    <w:rsid w:val="00E616ED"/>
    <w:rsid w:val="00E76BBC"/>
    <w:rsid w:val="00E841D6"/>
    <w:rsid w:val="00E8639A"/>
    <w:rsid w:val="00E932D8"/>
    <w:rsid w:val="00E93C09"/>
    <w:rsid w:val="00E9671A"/>
    <w:rsid w:val="00EA327B"/>
    <w:rsid w:val="00EA345D"/>
    <w:rsid w:val="00EC2B02"/>
    <w:rsid w:val="00ED4C71"/>
    <w:rsid w:val="00ED5822"/>
    <w:rsid w:val="00ED7887"/>
    <w:rsid w:val="00EE60A6"/>
    <w:rsid w:val="00EF0115"/>
    <w:rsid w:val="00EF5686"/>
    <w:rsid w:val="00F029C0"/>
    <w:rsid w:val="00F04374"/>
    <w:rsid w:val="00F21735"/>
    <w:rsid w:val="00F35D00"/>
    <w:rsid w:val="00F47540"/>
    <w:rsid w:val="00F92445"/>
    <w:rsid w:val="00FC3BC2"/>
    <w:rsid w:val="00FD16EB"/>
    <w:rsid w:val="00FE220B"/>
    <w:rsid w:val="00FE6F2F"/>
    <w:rsid w:val="00FF7681"/>
    <w:rsid w:val="010A3FF0"/>
    <w:rsid w:val="012437D0"/>
    <w:rsid w:val="01271E5C"/>
    <w:rsid w:val="014D5A85"/>
    <w:rsid w:val="015067C4"/>
    <w:rsid w:val="01523D4B"/>
    <w:rsid w:val="01596CA6"/>
    <w:rsid w:val="016B6626"/>
    <w:rsid w:val="017F6944"/>
    <w:rsid w:val="019C1365"/>
    <w:rsid w:val="019E08FF"/>
    <w:rsid w:val="01D73C49"/>
    <w:rsid w:val="01E22D64"/>
    <w:rsid w:val="0200276E"/>
    <w:rsid w:val="020C3ECB"/>
    <w:rsid w:val="020E06D5"/>
    <w:rsid w:val="02190180"/>
    <w:rsid w:val="02264665"/>
    <w:rsid w:val="025A207A"/>
    <w:rsid w:val="02615E8F"/>
    <w:rsid w:val="028768C8"/>
    <w:rsid w:val="02C95435"/>
    <w:rsid w:val="02E421A1"/>
    <w:rsid w:val="03213E28"/>
    <w:rsid w:val="03222ECD"/>
    <w:rsid w:val="03300058"/>
    <w:rsid w:val="03542C18"/>
    <w:rsid w:val="035B50DB"/>
    <w:rsid w:val="037462D6"/>
    <w:rsid w:val="0379167A"/>
    <w:rsid w:val="03A47301"/>
    <w:rsid w:val="03B31486"/>
    <w:rsid w:val="03CF769B"/>
    <w:rsid w:val="04000C54"/>
    <w:rsid w:val="041148DD"/>
    <w:rsid w:val="042561A9"/>
    <w:rsid w:val="042B5F31"/>
    <w:rsid w:val="043E5C7A"/>
    <w:rsid w:val="044F7740"/>
    <w:rsid w:val="04532E90"/>
    <w:rsid w:val="04552CF5"/>
    <w:rsid w:val="04633003"/>
    <w:rsid w:val="04667E64"/>
    <w:rsid w:val="0478748B"/>
    <w:rsid w:val="04872E65"/>
    <w:rsid w:val="0491189C"/>
    <w:rsid w:val="04BA553F"/>
    <w:rsid w:val="04E20029"/>
    <w:rsid w:val="04FB7674"/>
    <w:rsid w:val="051F6A72"/>
    <w:rsid w:val="0527731A"/>
    <w:rsid w:val="053F472D"/>
    <w:rsid w:val="05923185"/>
    <w:rsid w:val="05936400"/>
    <w:rsid w:val="05967338"/>
    <w:rsid w:val="05B40B81"/>
    <w:rsid w:val="05CD2AAA"/>
    <w:rsid w:val="05E97149"/>
    <w:rsid w:val="05EB160A"/>
    <w:rsid w:val="05F343C4"/>
    <w:rsid w:val="05F54FF7"/>
    <w:rsid w:val="06353914"/>
    <w:rsid w:val="063924A7"/>
    <w:rsid w:val="06446495"/>
    <w:rsid w:val="065455C1"/>
    <w:rsid w:val="06A969AA"/>
    <w:rsid w:val="06B108C2"/>
    <w:rsid w:val="06C60A6D"/>
    <w:rsid w:val="06EC2352"/>
    <w:rsid w:val="072F00AD"/>
    <w:rsid w:val="075E6D04"/>
    <w:rsid w:val="076840E1"/>
    <w:rsid w:val="077353B6"/>
    <w:rsid w:val="077B24CD"/>
    <w:rsid w:val="079325C9"/>
    <w:rsid w:val="079E2DA9"/>
    <w:rsid w:val="07CB4761"/>
    <w:rsid w:val="07E50358"/>
    <w:rsid w:val="08196084"/>
    <w:rsid w:val="08381439"/>
    <w:rsid w:val="083B7299"/>
    <w:rsid w:val="08462C29"/>
    <w:rsid w:val="085E4DD1"/>
    <w:rsid w:val="087870EC"/>
    <w:rsid w:val="087F296E"/>
    <w:rsid w:val="088B48AD"/>
    <w:rsid w:val="08CA6F17"/>
    <w:rsid w:val="08EB46C1"/>
    <w:rsid w:val="096D79E8"/>
    <w:rsid w:val="099266DA"/>
    <w:rsid w:val="09B82FEA"/>
    <w:rsid w:val="09BE3362"/>
    <w:rsid w:val="09BF43B4"/>
    <w:rsid w:val="0A052FFA"/>
    <w:rsid w:val="0A124DEE"/>
    <w:rsid w:val="0A194E60"/>
    <w:rsid w:val="0A1A15ED"/>
    <w:rsid w:val="0A2B346B"/>
    <w:rsid w:val="0A8775D4"/>
    <w:rsid w:val="0A900EE5"/>
    <w:rsid w:val="0AC10653"/>
    <w:rsid w:val="0AE55E8F"/>
    <w:rsid w:val="0AF14FD0"/>
    <w:rsid w:val="0B0C7E62"/>
    <w:rsid w:val="0B3C1350"/>
    <w:rsid w:val="0B3D0381"/>
    <w:rsid w:val="0B3D2FDB"/>
    <w:rsid w:val="0B5439F1"/>
    <w:rsid w:val="0B6A2709"/>
    <w:rsid w:val="0B7A5061"/>
    <w:rsid w:val="0C1146BD"/>
    <w:rsid w:val="0C1670BA"/>
    <w:rsid w:val="0C2D3BAC"/>
    <w:rsid w:val="0C543E61"/>
    <w:rsid w:val="0C690C40"/>
    <w:rsid w:val="0C7F7955"/>
    <w:rsid w:val="0C845E83"/>
    <w:rsid w:val="0C8D7305"/>
    <w:rsid w:val="0C900D8F"/>
    <w:rsid w:val="0C9660F5"/>
    <w:rsid w:val="0C9B09E5"/>
    <w:rsid w:val="0CA25EF7"/>
    <w:rsid w:val="0CAC7618"/>
    <w:rsid w:val="0CC26108"/>
    <w:rsid w:val="0CD35C1E"/>
    <w:rsid w:val="0CD90F97"/>
    <w:rsid w:val="0CE06A95"/>
    <w:rsid w:val="0D486441"/>
    <w:rsid w:val="0D5E60E7"/>
    <w:rsid w:val="0D744A85"/>
    <w:rsid w:val="0D867C63"/>
    <w:rsid w:val="0D9F5101"/>
    <w:rsid w:val="0DD81ECE"/>
    <w:rsid w:val="0DDB4F6E"/>
    <w:rsid w:val="0E0D14B3"/>
    <w:rsid w:val="0E2425C9"/>
    <w:rsid w:val="0E503264"/>
    <w:rsid w:val="0E5560A3"/>
    <w:rsid w:val="0E657327"/>
    <w:rsid w:val="0E732F6F"/>
    <w:rsid w:val="0E7752C2"/>
    <w:rsid w:val="0E791377"/>
    <w:rsid w:val="0E956F95"/>
    <w:rsid w:val="0EB15D82"/>
    <w:rsid w:val="0EB9679C"/>
    <w:rsid w:val="0EBA2E5D"/>
    <w:rsid w:val="0EC12AA1"/>
    <w:rsid w:val="0EC30469"/>
    <w:rsid w:val="0EC4011B"/>
    <w:rsid w:val="0EDD419B"/>
    <w:rsid w:val="0F043185"/>
    <w:rsid w:val="0F0D2BF5"/>
    <w:rsid w:val="0F4B7F19"/>
    <w:rsid w:val="0F530609"/>
    <w:rsid w:val="0F593965"/>
    <w:rsid w:val="0F6D00DB"/>
    <w:rsid w:val="0F8155C7"/>
    <w:rsid w:val="0F8A0B0F"/>
    <w:rsid w:val="0FC75689"/>
    <w:rsid w:val="0FCA7781"/>
    <w:rsid w:val="0FD46402"/>
    <w:rsid w:val="0FF31E65"/>
    <w:rsid w:val="101477E1"/>
    <w:rsid w:val="102E3CAE"/>
    <w:rsid w:val="10404F1F"/>
    <w:rsid w:val="105148CC"/>
    <w:rsid w:val="10975CAB"/>
    <w:rsid w:val="10DF070B"/>
    <w:rsid w:val="10F470EF"/>
    <w:rsid w:val="1145127B"/>
    <w:rsid w:val="11580CAB"/>
    <w:rsid w:val="1171540B"/>
    <w:rsid w:val="11786215"/>
    <w:rsid w:val="11997116"/>
    <w:rsid w:val="11E54A65"/>
    <w:rsid w:val="11ED0089"/>
    <w:rsid w:val="121B635E"/>
    <w:rsid w:val="123E01C0"/>
    <w:rsid w:val="126D4DB5"/>
    <w:rsid w:val="12901770"/>
    <w:rsid w:val="12CF0AE9"/>
    <w:rsid w:val="12D133CF"/>
    <w:rsid w:val="12DE2E2F"/>
    <w:rsid w:val="12DE536B"/>
    <w:rsid w:val="12E21E1F"/>
    <w:rsid w:val="12EB3B20"/>
    <w:rsid w:val="12F50C6F"/>
    <w:rsid w:val="12F64F04"/>
    <w:rsid w:val="13223B34"/>
    <w:rsid w:val="132A6DCF"/>
    <w:rsid w:val="139D12A4"/>
    <w:rsid w:val="13D046B9"/>
    <w:rsid w:val="13FE4729"/>
    <w:rsid w:val="140D4ABF"/>
    <w:rsid w:val="142468BB"/>
    <w:rsid w:val="14526833"/>
    <w:rsid w:val="1497435E"/>
    <w:rsid w:val="1497607A"/>
    <w:rsid w:val="149F6D90"/>
    <w:rsid w:val="14C7791E"/>
    <w:rsid w:val="14EB4681"/>
    <w:rsid w:val="151C0E52"/>
    <w:rsid w:val="151F5D2C"/>
    <w:rsid w:val="15554FBD"/>
    <w:rsid w:val="158D1F0C"/>
    <w:rsid w:val="159C1E66"/>
    <w:rsid w:val="15A31F96"/>
    <w:rsid w:val="15B13DC3"/>
    <w:rsid w:val="15B65BD7"/>
    <w:rsid w:val="15B74D54"/>
    <w:rsid w:val="15C23C87"/>
    <w:rsid w:val="15C55A70"/>
    <w:rsid w:val="15D10658"/>
    <w:rsid w:val="1605040A"/>
    <w:rsid w:val="165B7C95"/>
    <w:rsid w:val="16914F0E"/>
    <w:rsid w:val="169B5F0F"/>
    <w:rsid w:val="169C498B"/>
    <w:rsid w:val="169F3CCD"/>
    <w:rsid w:val="16F20A3A"/>
    <w:rsid w:val="16FC3028"/>
    <w:rsid w:val="1709205D"/>
    <w:rsid w:val="170F649D"/>
    <w:rsid w:val="17154B28"/>
    <w:rsid w:val="171B4C54"/>
    <w:rsid w:val="17367F73"/>
    <w:rsid w:val="17417E7E"/>
    <w:rsid w:val="175050B2"/>
    <w:rsid w:val="176458CF"/>
    <w:rsid w:val="179578DE"/>
    <w:rsid w:val="17A442EC"/>
    <w:rsid w:val="17A50A4A"/>
    <w:rsid w:val="17B32D1C"/>
    <w:rsid w:val="17CE2811"/>
    <w:rsid w:val="182E0866"/>
    <w:rsid w:val="18575C7C"/>
    <w:rsid w:val="185E7B4B"/>
    <w:rsid w:val="187631CF"/>
    <w:rsid w:val="18935FBE"/>
    <w:rsid w:val="18C871E5"/>
    <w:rsid w:val="18E15A32"/>
    <w:rsid w:val="193C5E0E"/>
    <w:rsid w:val="193E0E46"/>
    <w:rsid w:val="196C6C65"/>
    <w:rsid w:val="197052CD"/>
    <w:rsid w:val="198B43EE"/>
    <w:rsid w:val="199912B4"/>
    <w:rsid w:val="19995EE7"/>
    <w:rsid w:val="199F2A05"/>
    <w:rsid w:val="19A13A7D"/>
    <w:rsid w:val="19AE764A"/>
    <w:rsid w:val="19B11AC6"/>
    <w:rsid w:val="19FE2FE9"/>
    <w:rsid w:val="19FE6B84"/>
    <w:rsid w:val="1A1F74FF"/>
    <w:rsid w:val="1A396507"/>
    <w:rsid w:val="1A493CC5"/>
    <w:rsid w:val="1A4D03E8"/>
    <w:rsid w:val="1A512504"/>
    <w:rsid w:val="1A704CD2"/>
    <w:rsid w:val="1A710F77"/>
    <w:rsid w:val="1A727382"/>
    <w:rsid w:val="1AF43F57"/>
    <w:rsid w:val="1AF96E66"/>
    <w:rsid w:val="1AFA3C63"/>
    <w:rsid w:val="1B1D6869"/>
    <w:rsid w:val="1B2B2518"/>
    <w:rsid w:val="1B415DE4"/>
    <w:rsid w:val="1B62355C"/>
    <w:rsid w:val="1B6D378D"/>
    <w:rsid w:val="1B73237B"/>
    <w:rsid w:val="1B735003"/>
    <w:rsid w:val="1B7607E9"/>
    <w:rsid w:val="1BA1181B"/>
    <w:rsid w:val="1C257921"/>
    <w:rsid w:val="1C2F1F29"/>
    <w:rsid w:val="1C451A03"/>
    <w:rsid w:val="1C5E3061"/>
    <w:rsid w:val="1C7626C3"/>
    <w:rsid w:val="1C9132D1"/>
    <w:rsid w:val="1CA121DC"/>
    <w:rsid w:val="1CB73B55"/>
    <w:rsid w:val="1CD60020"/>
    <w:rsid w:val="1D287E7A"/>
    <w:rsid w:val="1D2A5222"/>
    <w:rsid w:val="1D3D62EE"/>
    <w:rsid w:val="1D62198A"/>
    <w:rsid w:val="1D697869"/>
    <w:rsid w:val="1DA518A7"/>
    <w:rsid w:val="1DAC1FDD"/>
    <w:rsid w:val="1E266F31"/>
    <w:rsid w:val="1E6709B3"/>
    <w:rsid w:val="1E785A26"/>
    <w:rsid w:val="1E8E5A7B"/>
    <w:rsid w:val="1EBA19A1"/>
    <w:rsid w:val="1ED02422"/>
    <w:rsid w:val="1ED96CEB"/>
    <w:rsid w:val="1EDD1804"/>
    <w:rsid w:val="1EE539B4"/>
    <w:rsid w:val="1EF52E45"/>
    <w:rsid w:val="1F1A74BB"/>
    <w:rsid w:val="1F3C51B9"/>
    <w:rsid w:val="1F5466CD"/>
    <w:rsid w:val="1F614ABF"/>
    <w:rsid w:val="1F8D323D"/>
    <w:rsid w:val="1F904208"/>
    <w:rsid w:val="1F9241CD"/>
    <w:rsid w:val="1F964406"/>
    <w:rsid w:val="1FB02550"/>
    <w:rsid w:val="1FBB5CA8"/>
    <w:rsid w:val="1FC87CB3"/>
    <w:rsid w:val="1FFD2D65"/>
    <w:rsid w:val="200A653C"/>
    <w:rsid w:val="20300719"/>
    <w:rsid w:val="20471BC2"/>
    <w:rsid w:val="20563CDA"/>
    <w:rsid w:val="2095669A"/>
    <w:rsid w:val="20AA0F50"/>
    <w:rsid w:val="20B10463"/>
    <w:rsid w:val="20E3233C"/>
    <w:rsid w:val="20E46A25"/>
    <w:rsid w:val="20E7660D"/>
    <w:rsid w:val="20ED567A"/>
    <w:rsid w:val="20FD2E37"/>
    <w:rsid w:val="2125054F"/>
    <w:rsid w:val="213C7F36"/>
    <w:rsid w:val="21407797"/>
    <w:rsid w:val="21560A01"/>
    <w:rsid w:val="21610104"/>
    <w:rsid w:val="217A3958"/>
    <w:rsid w:val="217F4AFE"/>
    <w:rsid w:val="222C5D77"/>
    <w:rsid w:val="222D7B85"/>
    <w:rsid w:val="223D6B16"/>
    <w:rsid w:val="227332E2"/>
    <w:rsid w:val="22825833"/>
    <w:rsid w:val="228C3F45"/>
    <w:rsid w:val="22A84097"/>
    <w:rsid w:val="22C47677"/>
    <w:rsid w:val="22CA557A"/>
    <w:rsid w:val="22F0172D"/>
    <w:rsid w:val="22F03BBB"/>
    <w:rsid w:val="22FB2D95"/>
    <w:rsid w:val="230E23A9"/>
    <w:rsid w:val="23126BDA"/>
    <w:rsid w:val="235947A4"/>
    <w:rsid w:val="236A0317"/>
    <w:rsid w:val="23820C30"/>
    <w:rsid w:val="239C7216"/>
    <w:rsid w:val="23A206E6"/>
    <w:rsid w:val="23C9030C"/>
    <w:rsid w:val="23E15892"/>
    <w:rsid w:val="240627E4"/>
    <w:rsid w:val="240A7E3D"/>
    <w:rsid w:val="242F519F"/>
    <w:rsid w:val="24556608"/>
    <w:rsid w:val="24A14E74"/>
    <w:rsid w:val="24B41410"/>
    <w:rsid w:val="24F84F18"/>
    <w:rsid w:val="24FC7474"/>
    <w:rsid w:val="25147A34"/>
    <w:rsid w:val="25156461"/>
    <w:rsid w:val="254124A2"/>
    <w:rsid w:val="25566652"/>
    <w:rsid w:val="256A4C21"/>
    <w:rsid w:val="257A086E"/>
    <w:rsid w:val="25D75A29"/>
    <w:rsid w:val="25F51E2C"/>
    <w:rsid w:val="261D2429"/>
    <w:rsid w:val="26343B6A"/>
    <w:rsid w:val="26412950"/>
    <w:rsid w:val="26504D63"/>
    <w:rsid w:val="266C59EE"/>
    <w:rsid w:val="26716B83"/>
    <w:rsid w:val="26BF7F2E"/>
    <w:rsid w:val="26FB2245"/>
    <w:rsid w:val="270F69AD"/>
    <w:rsid w:val="2714475D"/>
    <w:rsid w:val="27184E90"/>
    <w:rsid w:val="27491CD5"/>
    <w:rsid w:val="27580E0B"/>
    <w:rsid w:val="27753FC4"/>
    <w:rsid w:val="27962D45"/>
    <w:rsid w:val="27CA5C14"/>
    <w:rsid w:val="280D71E6"/>
    <w:rsid w:val="284A687A"/>
    <w:rsid w:val="284A79AD"/>
    <w:rsid w:val="287D3B34"/>
    <w:rsid w:val="28944510"/>
    <w:rsid w:val="28A24C3C"/>
    <w:rsid w:val="28B97918"/>
    <w:rsid w:val="28E4753D"/>
    <w:rsid w:val="292417FF"/>
    <w:rsid w:val="292755BB"/>
    <w:rsid w:val="29533D3F"/>
    <w:rsid w:val="296760E1"/>
    <w:rsid w:val="296D34B5"/>
    <w:rsid w:val="299308D4"/>
    <w:rsid w:val="29A45EDD"/>
    <w:rsid w:val="29AF73A0"/>
    <w:rsid w:val="29B46445"/>
    <w:rsid w:val="29C819E0"/>
    <w:rsid w:val="29F2143B"/>
    <w:rsid w:val="2A361C6B"/>
    <w:rsid w:val="2A4C0365"/>
    <w:rsid w:val="2A534535"/>
    <w:rsid w:val="2A5D34BF"/>
    <w:rsid w:val="2A915009"/>
    <w:rsid w:val="2A925A2E"/>
    <w:rsid w:val="2A945B67"/>
    <w:rsid w:val="2AF13AC1"/>
    <w:rsid w:val="2B077AE0"/>
    <w:rsid w:val="2B1E77A0"/>
    <w:rsid w:val="2B347705"/>
    <w:rsid w:val="2B98358E"/>
    <w:rsid w:val="2BC517BD"/>
    <w:rsid w:val="2BD14572"/>
    <w:rsid w:val="2BD85ECC"/>
    <w:rsid w:val="2BEC432B"/>
    <w:rsid w:val="2BF05ABE"/>
    <w:rsid w:val="2BFF1C32"/>
    <w:rsid w:val="2C05042A"/>
    <w:rsid w:val="2C1813F2"/>
    <w:rsid w:val="2C4A5854"/>
    <w:rsid w:val="2C5A47A0"/>
    <w:rsid w:val="2C7B3E2D"/>
    <w:rsid w:val="2C8A6425"/>
    <w:rsid w:val="2CBE54E6"/>
    <w:rsid w:val="2CCA67A7"/>
    <w:rsid w:val="2CD14B41"/>
    <w:rsid w:val="2CDA3E2A"/>
    <w:rsid w:val="2CE47A69"/>
    <w:rsid w:val="2CF52D3F"/>
    <w:rsid w:val="2D0465F7"/>
    <w:rsid w:val="2D05275E"/>
    <w:rsid w:val="2D1E20E6"/>
    <w:rsid w:val="2D5532FF"/>
    <w:rsid w:val="2DA854F2"/>
    <w:rsid w:val="2DC45985"/>
    <w:rsid w:val="2DF31567"/>
    <w:rsid w:val="2E010CA6"/>
    <w:rsid w:val="2E390FC0"/>
    <w:rsid w:val="2E4111AA"/>
    <w:rsid w:val="2E5C5553"/>
    <w:rsid w:val="2E790B0C"/>
    <w:rsid w:val="2EF418E1"/>
    <w:rsid w:val="2EFE3045"/>
    <w:rsid w:val="2F0F517C"/>
    <w:rsid w:val="2F2C6179"/>
    <w:rsid w:val="2F492AFA"/>
    <w:rsid w:val="2FAA64B0"/>
    <w:rsid w:val="2FF72657"/>
    <w:rsid w:val="302738B4"/>
    <w:rsid w:val="3031133F"/>
    <w:rsid w:val="30340122"/>
    <w:rsid w:val="30410A60"/>
    <w:rsid w:val="307F5024"/>
    <w:rsid w:val="308A6135"/>
    <w:rsid w:val="30A224AC"/>
    <w:rsid w:val="30A75BFD"/>
    <w:rsid w:val="30AA4BBD"/>
    <w:rsid w:val="30B24B6B"/>
    <w:rsid w:val="30BC645E"/>
    <w:rsid w:val="30C64EB4"/>
    <w:rsid w:val="31176898"/>
    <w:rsid w:val="311E2FDA"/>
    <w:rsid w:val="31687EEA"/>
    <w:rsid w:val="31707DC0"/>
    <w:rsid w:val="317E2342"/>
    <w:rsid w:val="31934677"/>
    <w:rsid w:val="31D60B25"/>
    <w:rsid w:val="31E60A97"/>
    <w:rsid w:val="32090EC5"/>
    <w:rsid w:val="323B1632"/>
    <w:rsid w:val="32583994"/>
    <w:rsid w:val="326E6E78"/>
    <w:rsid w:val="32800D27"/>
    <w:rsid w:val="32936B9B"/>
    <w:rsid w:val="32B8313D"/>
    <w:rsid w:val="32BC63C2"/>
    <w:rsid w:val="32C145F9"/>
    <w:rsid w:val="32E427EF"/>
    <w:rsid w:val="32EC7A5F"/>
    <w:rsid w:val="33112129"/>
    <w:rsid w:val="33124215"/>
    <w:rsid w:val="33126DED"/>
    <w:rsid w:val="33317636"/>
    <w:rsid w:val="333C7922"/>
    <w:rsid w:val="33487569"/>
    <w:rsid w:val="334C02DC"/>
    <w:rsid w:val="33587D14"/>
    <w:rsid w:val="336F07BA"/>
    <w:rsid w:val="338D75C2"/>
    <w:rsid w:val="33C8452B"/>
    <w:rsid w:val="33D10E0E"/>
    <w:rsid w:val="33F839AE"/>
    <w:rsid w:val="34363854"/>
    <w:rsid w:val="344B3FEB"/>
    <w:rsid w:val="3457491F"/>
    <w:rsid w:val="347A14B1"/>
    <w:rsid w:val="3497731B"/>
    <w:rsid w:val="34B13FFA"/>
    <w:rsid w:val="34DF6E74"/>
    <w:rsid w:val="34F12DF7"/>
    <w:rsid w:val="35067D24"/>
    <w:rsid w:val="35166A1A"/>
    <w:rsid w:val="351B5CB6"/>
    <w:rsid w:val="35257103"/>
    <w:rsid w:val="352B3FDA"/>
    <w:rsid w:val="358F7C00"/>
    <w:rsid w:val="35AF7763"/>
    <w:rsid w:val="35C32F83"/>
    <w:rsid w:val="35D36814"/>
    <w:rsid w:val="35D4760E"/>
    <w:rsid w:val="35D666F3"/>
    <w:rsid w:val="35E16401"/>
    <w:rsid w:val="35E62E0C"/>
    <w:rsid w:val="35EC35CD"/>
    <w:rsid w:val="360570A1"/>
    <w:rsid w:val="36127F2F"/>
    <w:rsid w:val="361A2791"/>
    <w:rsid w:val="36345134"/>
    <w:rsid w:val="363A78F6"/>
    <w:rsid w:val="364A10B4"/>
    <w:rsid w:val="367478B4"/>
    <w:rsid w:val="36F02A2F"/>
    <w:rsid w:val="36F10A2C"/>
    <w:rsid w:val="370752B0"/>
    <w:rsid w:val="372D01C6"/>
    <w:rsid w:val="3734436D"/>
    <w:rsid w:val="37377388"/>
    <w:rsid w:val="377C0F16"/>
    <w:rsid w:val="37A8498C"/>
    <w:rsid w:val="37C73FD1"/>
    <w:rsid w:val="37F63E1B"/>
    <w:rsid w:val="380A218B"/>
    <w:rsid w:val="38216763"/>
    <w:rsid w:val="382F3F38"/>
    <w:rsid w:val="38791B6A"/>
    <w:rsid w:val="38907048"/>
    <w:rsid w:val="38A53838"/>
    <w:rsid w:val="38B479A9"/>
    <w:rsid w:val="3911652A"/>
    <w:rsid w:val="393517FD"/>
    <w:rsid w:val="394006E7"/>
    <w:rsid w:val="39637E0A"/>
    <w:rsid w:val="396416E9"/>
    <w:rsid w:val="396D3282"/>
    <w:rsid w:val="396E507B"/>
    <w:rsid w:val="39720932"/>
    <w:rsid w:val="398D3EF7"/>
    <w:rsid w:val="39964CCA"/>
    <w:rsid w:val="39A402A7"/>
    <w:rsid w:val="39AE778B"/>
    <w:rsid w:val="39BD2984"/>
    <w:rsid w:val="39C02466"/>
    <w:rsid w:val="39C714F6"/>
    <w:rsid w:val="39E01726"/>
    <w:rsid w:val="39E475D5"/>
    <w:rsid w:val="3A186897"/>
    <w:rsid w:val="3A5B5574"/>
    <w:rsid w:val="3A645696"/>
    <w:rsid w:val="3A67678E"/>
    <w:rsid w:val="3A9B21D3"/>
    <w:rsid w:val="3AAE52AF"/>
    <w:rsid w:val="3ACB3D5B"/>
    <w:rsid w:val="3AEF28DC"/>
    <w:rsid w:val="3B1A4D42"/>
    <w:rsid w:val="3B334400"/>
    <w:rsid w:val="3B706F00"/>
    <w:rsid w:val="3B8175D5"/>
    <w:rsid w:val="3B905A26"/>
    <w:rsid w:val="3BC3253A"/>
    <w:rsid w:val="3BE83911"/>
    <w:rsid w:val="3C0E029C"/>
    <w:rsid w:val="3C2C4829"/>
    <w:rsid w:val="3C562349"/>
    <w:rsid w:val="3CA07096"/>
    <w:rsid w:val="3CCD30AA"/>
    <w:rsid w:val="3CF23EEC"/>
    <w:rsid w:val="3D4B2C53"/>
    <w:rsid w:val="3D5B199F"/>
    <w:rsid w:val="3D62675A"/>
    <w:rsid w:val="3D691352"/>
    <w:rsid w:val="3D74225A"/>
    <w:rsid w:val="3DB26B4D"/>
    <w:rsid w:val="3DCD6E1E"/>
    <w:rsid w:val="3DE20870"/>
    <w:rsid w:val="3DEA72D3"/>
    <w:rsid w:val="3DF1191B"/>
    <w:rsid w:val="3E0A5230"/>
    <w:rsid w:val="3E192877"/>
    <w:rsid w:val="3E1F5664"/>
    <w:rsid w:val="3E2548E0"/>
    <w:rsid w:val="3E2E2A2A"/>
    <w:rsid w:val="3E3B2BAF"/>
    <w:rsid w:val="3E417634"/>
    <w:rsid w:val="3E595920"/>
    <w:rsid w:val="3E732368"/>
    <w:rsid w:val="3E771CA9"/>
    <w:rsid w:val="3E8A6410"/>
    <w:rsid w:val="3E9159EE"/>
    <w:rsid w:val="3EB67DC8"/>
    <w:rsid w:val="3ECE5410"/>
    <w:rsid w:val="3ECF6407"/>
    <w:rsid w:val="3EFC094F"/>
    <w:rsid w:val="3F447657"/>
    <w:rsid w:val="3F4704CE"/>
    <w:rsid w:val="3F590220"/>
    <w:rsid w:val="3F743E4E"/>
    <w:rsid w:val="3FB948A9"/>
    <w:rsid w:val="3FBA5C06"/>
    <w:rsid w:val="3FDA452D"/>
    <w:rsid w:val="401F3D5E"/>
    <w:rsid w:val="4039317F"/>
    <w:rsid w:val="403C0AB6"/>
    <w:rsid w:val="404A28BF"/>
    <w:rsid w:val="40655AA2"/>
    <w:rsid w:val="40804D49"/>
    <w:rsid w:val="408F4D37"/>
    <w:rsid w:val="40D94EB0"/>
    <w:rsid w:val="40E46D30"/>
    <w:rsid w:val="40E70F19"/>
    <w:rsid w:val="410738AA"/>
    <w:rsid w:val="4119574D"/>
    <w:rsid w:val="411C3A4F"/>
    <w:rsid w:val="416F2BD0"/>
    <w:rsid w:val="418C58C3"/>
    <w:rsid w:val="4194672F"/>
    <w:rsid w:val="41E42798"/>
    <w:rsid w:val="41F26860"/>
    <w:rsid w:val="41FF7CEB"/>
    <w:rsid w:val="420E132E"/>
    <w:rsid w:val="4214525C"/>
    <w:rsid w:val="421F61D2"/>
    <w:rsid w:val="42345A0B"/>
    <w:rsid w:val="42616F1A"/>
    <w:rsid w:val="4268543F"/>
    <w:rsid w:val="42720AC3"/>
    <w:rsid w:val="42782699"/>
    <w:rsid w:val="42783AB1"/>
    <w:rsid w:val="4287135D"/>
    <w:rsid w:val="428A1F76"/>
    <w:rsid w:val="428D29AC"/>
    <w:rsid w:val="42A12086"/>
    <w:rsid w:val="42AF273B"/>
    <w:rsid w:val="430722DC"/>
    <w:rsid w:val="43094247"/>
    <w:rsid w:val="431A5A53"/>
    <w:rsid w:val="431D1F63"/>
    <w:rsid w:val="433146B8"/>
    <w:rsid w:val="435B09C4"/>
    <w:rsid w:val="435E46B6"/>
    <w:rsid w:val="43695015"/>
    <w:rsid w:val="43897269"/>
    <w:rsid w:val="43AE4344"/>
    <w:rsid w:val="43B07F82"/>
    <w:rsid w:val="43BA013A"/>
    <w:rsid w:val="43BA26C1"/>
    <w:rsid w:val="43D70B0D"/>
    <w:rsid w:val="43DC1319"/>
    <w:rsid w:val="43F54BCB"/>
    <w:rsid w:val="43F97538"/>
    <w:rsid w:val="44186757"/>
    <w:rsid w:val="44351F77"/>
    <w:rsid w:val="4441782D"/>
    <w:rsid w:val="447A6A20"/>
    <w:rsid w:val="4483094E"/>
    <w:rsid w:val="44E2046B"/>
    <w:rsid w:val="44F7669D"/>
    <w:rsid w:val="450F5018"/>
    <w:rsid w:val="4596379A"/>
    <w:rsid w:val="459756F6"/>
    <w:rsid w:val="46193B16"/>
    <w:rsid w:val="46424ABF"/>
    <w:rsid w:val="464C2F6E"/>
    <w:rsid w:val="46522DEA"/>
    <w:rsid w:val="466E180B"/>
    <w:rsid w:val="46711E02"/>
    <w:rsid w:val="46897162"/>
    <w:rsid w:val="46A57BE8"/>
    <w:rsid w:val="46C80F32"/>
    <w:rsid w:val="46CD152A"/>
    <w:rsid w:val="46F710EA"/>
    <w:rsid w:val="46FE378F"/>
    <w:rsid w:val="4705340C"/>
    <w:rsid w:val="4710389D"/>
    <w:rsid w:val="471259B9"/>
    <w:rsid w:val="471C680F"/>
    <w:rsid w:val="47696157"/>
    <w:rsid w:val="47701CEF"/>
    <w:rsid w:val="4779604F"/>
    <w:rsid w:val="47A220BB"/>
    <w:rsid w:val="47A76E74"/>
    <w:rsid w:val="47D90328"/>
    <w:rsid w:val="48486664"/>
    <w:rsid w:val="484E4D0A"/>
    <w:rsid w:val="4850164E"/>
    <w:rsid w:val="4886365D"/>
    <w:rsid w:val="48A33DF6"/>
    <w:rsid w:val="48B60CAF"/>
    <w:rsid w:val="48C34B9F"/>
    <w:rsid w:val="48EA78ED"/>
    <w:rsid w:val="48FF3007"/>
    <w:rsid w:val="49035768"/>
    <w:rsid w:val="491C0BC5"/>
    <w:rsid w:val="492357F3"/>
    <w:rsid w:val="49236975"/>
    <w:rsid w:val="493E5281"/>
    <w:rsid w:val="49440C98"/>
    <w:rsid w:val="4957136E"/>
    <w:rsid w:val="496C6A70"/>
    <w:rsid w:val="4979269F"/>
    <w:rsid w:val="498C669A"/>
    <w:rsid w:val="499058F4"/>
    <w:rsid w:val="49945479"/>
    <w:rsid w:val="49CF6047"/>
    <w:rsid w:val="4A052153"/>
    <w:rsid w:val="4A45317A"/>
    <w:rsid w:val="4A477AFD"/>
    <w:rsid w:val="4A6413AC"/>
    <w:rsid w:val="4A684174"/>
    <w:rsid w:val="4A6938AF"/>
    <w:rsid w:val="4A8D152B"/>
    <w:rsid w:val="4AC119F6"/>
    <w:rsid w:val="4AC8755E"/>
    <w:rsid w:val="4AD66E25"/>
    <w:rsid w:val="4AFD519C"/>
    <w:rsid w:val="4B0066BB"/>
    <w:rsid w:val="4B0D490A"/>
    <w:rsid w:val="4B490BF7"/>
    <w:rsid w:val="4B9052B9"/>
    <w:rsid w:val="4B9517B2"/>
    <w:rsid w:val="4BA47642"/>
    <w:rsid w:val="4BA711EC"/>
    <w:rsid w:val="4BA928F1"/>
    <w:rsid w:val="4BEA138B"/>
    <w:rsid w:val="4C0353FE"/>
    <w:rsid w:val="4C062535"/>
    <w:rsid w:val="4C1B6842"/>
    <w:rsid w:val="4C334EFC"/>
    <w:rsid w:val="4C7F7B79"/>
    <w:rsid w:val="4C9E73BA"/>
    <w:rsid w:val="4D116F46"/>
    <w:rsid w:val="4D281DC8"/>
    <w:rsid w:val="4D464AA8"/>
    <w:rsid w:val="4D5B6703"/>
    <w:rsid w:val="4D9669A4"/>
    <w:rsid w:val="4D97311A"/>
    <w:rsid w:val="4DA664CB"/>
    <w:rsid w:val="4DA86B44"/>
    <w:rsid w:val="4DCE06AB"/>
    <w:rsid w:val="4DED1A7F"/>
    <w:rsid w:val="4DF12769"/>
    <w:rsid w:val="4E3C1B1F"/>
    <w:rsid w:val="4E7F2270"/>
    <w:rsid w:val="4E833B87"/>
    <w:rsid w:val="4E8A149D"/>
    <w:rsid w:val="4E9E396F"/>
    <w:rsid w:val="4EA71526"/>
    <w:rsid w:val="4EC36122"/>
    <w:rsid w:val="4ED44722"/>
    <w:rsid w:val="4EE06785"/>
    <w:rsid w:val="4EE466A5"/>
    <w:rsid w:val="4EEA05DD"/>
    <w:rsid w:val="4EFB3003"/>
    <w:rsid w:val="4F13615E"/>
    <w:rsid w:val="4F1D529E"/>
    <w:rsid w:val="4F3E0DF2"/>
    <w:rsid w:val="4F426B7C"/>
    <w:rsid w:val="4F552C5C"/>
    <w:rsid w:val="4F585FCE"/>
    <w:rsid w:val="4F9806FD"/>
    <w:rsid w:val="4F9866AF"/>
    <w:rsid w:val="4F9F18BF"/>
    <w:rsid w:val="4FBB2915"/>
    <w:rsid w:val="4FE97E9E"/>
    <w:rsid w:val="500B7D37"/>
    <w:rsid w:val="502370BE"/>
    <w:rsid w:val="502C1598"/>
    <w:rsid w:val="503A176B"/>
    <w:rsid w:val="503A6B8C"/>
    <w:rsid w:val="50597791"/>
    <w:rsid w:val="506E63DF"/>
    <w:rsid w:val="50752F77"/>
    <w:rsid w:val="507C5C4D"/>
    <w:rsid w:val="50803C4D"/>
    <w:rsid w:val="50A67E88"/>
    <w:rsid w:val="50AF4F22"/>
    <w:rsid w:val="50B2667F"/>
    <w:rsid w:val="50DA4BF6"/>
    <w:rsid w:val="50DE1780"/>
    <w:rsid w:val="50F00A8A"/>
    <w:rsid w:val="510859D8"/>
    <w:rsid w:val="511213E7"/>
    <w:rsid w:val="5121417A"/>
    <w:rsid w:val="51256B8F"/>
    <w:rsid w:val="51270EC3"/>
    <w:rsid w:val="513D40F6"/>
    <w:rsid w:val="514A6B23"/>
    <w:rsid w:val="515851E2"/>
    <w:rsid w:val="51BE4377"/>
    <w:rsid w:val="51E85225"/>
    <w:rsid w:val="51EE4C3B"/>
    <w:rsid w:val="520A34C4"/>
    <w:rsid w:val="5215070B"/>
    <w:rsid w:val="52277D75"/>
    <w:rsid w:val="522843C5"/>
    <w:rsid w:val="5231317B"/>
    <w:rsid w:val="52545805"/>
    <w:rsid w:val="5288694D"/>
    <w:rsid w:val="52D32D73"/>
    <w:rsid w:val="52E10592"/>
    <w:rsid w:val="52E7116E"/>
    <w:rsid w:val="53092D0A"/>
    <w:rsid w:val="531C34FF"/>
    <w:rsid w:val="533E6F20"/>
    <w:rsid w:val="534D3706"/>
    <w:rsid w:val="536C29F8"/>
    <w:rsid w:val="537B40DC"/>
    <w:rsid w:val="537E36F7"/>
    <w:rsid w:val="53971D48"/>
    <w:rsid w:val="53B44968"/>
    <w:rsid w:val="53D858FA"/>
    <w:rsid w:val="540507CD"/>
    <w:rsid w:val="541575FD"/>
    <w:rsid w:val="54223AB1"/>
    <w:rsid w:val="544A45C5"/>
    <w:rsid w:val="545A03D5"/>
    <w:rsid w:val="546809DB"/>
    <w:rsid w:val="546E090C"/>
    <w:rsid w:val="54764BB2"/>
    <w:rsid w:val="547C6AE8"/>
    <w:rsid w:val="54E524E5"/>
    <w:rsid w:val="550F3728"/>
    <w:rsid w:val="55255FC9"/>
    <w:rsid w:val="552D4DBF"/>
    <w:rsid w:val="552D5B61"/>
    <w:rsid w:val="55322A6D"/>
    <w:rsid w:val="554B2198"/>
    <w:rsid w:val="555C57F1"/>
    <w:rsid w:val="55861AEE"/>
    <w:rsid w:val="55A77037"/>
    <w:rsid w:val="55E30C3C"/>
    <w:rsid w:val="561403C2"/>
    <w:rsid w:val="5626723A"/>
    <w:rsid w:val="5639679F"/>
    <w:rsid w:val="564179CA"/>
    <w:rsid w:val="5644314F"/>
    <w:rsid w:val="564E03FB"/>
    <w:rsid w:val="5664437E"/>
    <w:rsid w:val="56925EBE"/>
    <w:rsid w:val="56D17B27"/>
    <w:rsid w:val="572C7715"/>
    <w:rsid w:val="57397CBA"/>
    <w:rsid w:val="573A1D2F"/>
    <w:rsid w:val="573E04BF"/>
    <w:rsid w:val="57802785"/>
    <w:rsid w:val="57806985"/>
    <w:rsid w:val="578F6B32"/>
    <w:rsid w:val="579F51F5"/>
    <w:rsid w:val="57A011C2"/>
    <w:rsid w:val="57E92C6A"/>
    <w:rsid w:val="58231072"/>
    <w:rsid w:val="58534D4A"/>
    <w:rsid w:val="588A7354"/>
    <w:rsid w:val="589B0473"/>
    <w:rsid w:val="58E77486"/>
    <w:rsid w:val="59057494"/>
    <w:rsid w:val="5934047B"/>
    <w:rsid w:val="5936319D"/>
    <w:rsid w:val="593D2860"/>
    <w:rsid w:val="593E0DF0"/>
    <w:rsid w:val="59667FE6"/>
    <w:rsid w:val="59936D84"/>
    <w:rsid w:val="59A50B3D"/>
    <w:rsid w:val="59C278B2"/>
    <w:rsid w:val="59C43712"/>
    <w:rsid w:val="59C46B9F"/>
    <w:rsid w:val="59EB2489"/>
    <w:rsid w:val="5A1F6F83"/>
    <w:rsid w:val="5A303D37"/>
    <w:rsid w:val="5A3109B3"/>
    <w:rsid w:val="5A3A64FF"/>
    <w:rsid w:val="5A616F53"/>
    <w:rsid w:val="5A704165"/>
    <w:rsid w:val="5A7F759B"/>
    <w:rsid w:val="5ABE12F9"/>
    <w:rsid w:val="5AFF3625"/>
    <w:rsid w:val="5B2F2730"/>
    <w:rsid w:val="5B4F0EE7"/>
    <w:rsid w:val="5B6E4B59"/>
    <w:rsid w:val="5B705A2B"/>
    <w:rsid w:val="5B776B5E"/>
    <w:rsid w:val="5B8F43E9"/>
    <w:rsid w:val="5BC35D7A"/>
    <w:rsid w:val="5C1F794E"/>
    <w:rsid w:val="5C463CC8"/>
    <w:rsid w:val="5C494EFD"/>
    <w:rsid w:val="5C7E12EF"/>
    <w:rsid w:val="5C84732B"/>
    <w:rsid w:val="5CBF6CD1"/>
    <w:rsid w:val="5D027F9F"/>
    <w:rsid w:val="5D0C68E0"/>
    <w:rsid w:val="5D8209DF"/>
    <w:rsid w:val="5D835939"/>
    <w:rsid w:val="5D8F6403"/>
    <w:rsid w:val="5DC4624A"/>
    <w:rsid w:val="5DCA474D"/>
    <w:rsid w:val="5DD631A4"/>
    <w:rsid w:val="5DE339A4"/>
    <w:rsid w:val="5E0742AB"/>
    <w:rsid w:val="5E085A5E"/>
    <w:rsid w:val="5E3D22B5"/>
    <w:rsid w:val="5E551067"/>
    <w:rsid w:val="5E593EF4"/>
    <w:rsid w:val="5E663C3C"/>
    <w:rsid w:val="5E9A0B94"/>
    <w:rsid w:val="5ECA7B9C"/>
    <w:rsid w:val="5ED45AE5"/>
    <w:rsid w:val="5EE65C62"/>
    <w:rsid w:val="5EED7AF1"/>
    <w:rsid w:val="5F00418B"/>
    <w:rsid w:val="5F0D0D47"/>
    <w:rsid w:val="5F304586"/>
    <w:rsid w:val="5F3E1270"/>
    <w:rsid w:val="5F531B75"/>
    <w:rsid w:val="5F5727F4"/>
    <w:rsid w:val="5F62540A"/>
    <w:rsid w:val="5F6300D6"/>
    <w:rsid w:val="5F676547"/>
    <w:rsid w:val="5F6D1C6D"/>
    <w:rsid w:val="5F70790E"/>
    <w:rsid w:val="5FBB72D1"/>
    <w:rsid w:val="5FCA0245"/>
    <w:rsid w:val="5FF35D1F"/>
    <w:rsid w:val="6003607E"/>
    <w:rsid w:val="602054E8"/>
    <w:rsid w:val="604A193C"/>
    <w:rsid w:val="60514730"/>
    <w:rsid w:val="605E222B"/>
    <w:rsid w:val="606E7549"/>
    <w:rsid w:val="608A0E38"/>
    <w:rsid w:val="608D0EE4"/>
    <w:rsid w:val="609971BE"/>
    <w:rsid w:val="60A44765"/>
    <w:rsid w:val="60B050C0"/>
    <w:rsid w:val="610F1953"/>
    <w:rsid w:val="6126674F"/>
    <w:rsid w:val="61312FB9"/>
    <w:rsid w:val="61501DE6"/>
    <w:rsid w:val="616D268B"/>
    <w:rsid w:val="618219F6"/>
    <w:rsid w:val="61891A5A"/>
    <w:rsid w:val="624332A9"/>
    <w:rsid w:val="62597F89"/>
    <w:rsid w:val="62AC4C62"/>
    <w:rsid w:val="62DB1ED2"/>
    <w:rsid w:val="63531C5C"/>
    <w:rsid w:val="63660591"/>
    <w:rsid w:val="63747326"/>
    <w:rsid w:val="63974EEB"/>
    <w:rsid w:val="63C3335B"/>
    <w:rsid w:val="63D7368C"/>
    <w:rsid w:val="63F55634"/>
    <w:rsid w:val="64461707"/>
    <w:rsid w:val="64653C70"/>
    <w:rsid w:val="646D04FB"/>
    <w:rsid w:val="64847EEF"/>
    <w:rsid w:val="64B25259"/>
    <w:rsid w:val="64C9454E"/>
    <w:rsid w:val="64CF342D"/>
    <w:rsid w:val="64E7655D"/>
    <w:rsid w:val="64F21A7B"/>
    <w:rsid w:val="64F370B8"/>
    <w:rsid w:val="651C5D6D"/>
    <w:rsid w:val="651D0A2B"/>
    <w:rsid w:val="653A0A58"/>
    <w:rsid w:val="655A4D6B"/>
    <w:rsid w:val="65814FB8"/>
    <w:rsid w:val="65826C72"/>
    <w:rsid w:val="65D25E21"/>
    <w:rsid w:val="65E739D5"/>
    <w:rsid w:val="65EB0670"/>
    <w:rsid w:val="65EE057B"/>
    <w:rsid w:val="66820B55"/>
    <w:rsid w:val="669F016E"/>
    <w:rsid w:val="66AD2650"/>
    <w:rsid w:val="66FE79C7"/>
    <w:rsid w:val="675C23B1"/>
    <w:rsid w:val="67814FE1"/>
    <w:rsid w:val="678E216D"/>
    <w:rsid w:val="68257391"/>
    <w:rsid w:val="682F0DDD"/>
    <w:rsid w:val="684A3B97"/>
    <w:rsid w:val="684C7D85"/>
    <w:rsid w:val="68502860"/>
    <w:rsid w:val="68A02B65"/>
    <w:rsid w:val="68AC1B03"/>
    <w:rsid w:val="68F23C2B"/>
    <w:rsid w:val="68FD0E01"/>
    <w:rsid w:val="690E6E39"/>
    <w:rsid w:val="69164910"/>
    <w:rsid w:val="69243CD2"/>
    <w:rsid w:val="69276C0E"/>
    <w:rsid w:val="693229A5"/>
    <w:rsid w:val="693E628B"/>
    <w:rsid w:val="6955770A"/>
    <w:rsid w:val="69680AC5"/>
    <w:rsid w:val="696C6231"/>
    <w:rsid w:val="69802026"/>
    <w:rsid w:val="698B345B"/>
    <w:rsid w:val="699F3F18"/>
    <w:rsid w:val="69B5188D"/>
    <w:rsid w:val="69C50637"/>
    <w:rsid w:val="6A051BBF"/>
    <w:rsid w:val="6A051EFD"/>
    <w:rsid w:val="6A3D4B84"/>
    <w:rsid w:val="6A7D7DCE"/>
    <w:rsid w:val="6A90769D"/>
    <w:rsid w:val="6ACB7AF7"/>
    <w:rsid w:val="6ACE1CE5"/>
    <w:rsid w:val="6AE12A80"/>
    <w:rsid w:val="6AEF0882"/>
    <w:rsid w:val="6B1A0AE3"/>
    <w:rsid w:val="6B322415"/>
    <w:rsid w:val="6B3B246B"/>
    <w:rsid w:val="6B4A0DB1"/>
    <w:rsid w:val="6B520645"/>
    <w:rsid w:val="6BB6553E"/>
    <w:rsid w:val="6C0B0C5C"/>
    <w:rsid w:val="6C291EAC"/>
    <w:rsid w:val="6C5B66D2"/>
    <w:rsid w:val="6C6C12DE"/>
    <w:rsid w:val="6C9044C0"/>
    <w:rsid w:val="6C995AA5"/>
    <w:rsid w:val="6CDF17D0"/>
    <w:rsid w:val="6D031288"/>
    <w:rsid w:val="6D121A8F"/>
    <w:rsid w:val="6D346AEB"/>
    <w:rsid w:val="6D4B1900"/>
    <w:rsid w:val="6D4E44F0"/>
    <w:rsid w:val="6D903360"/>
    <w:rsid w:val="6DE45BF0"/>
    <w:rsid w:val="6DF0060E"/>
    <w:rsid w:val="6DF5602B"/>
    <w:rsid w:val="6E0E0495"/>
    <w:rsid w:val="6E100053"/>
    <w:rsid w:val="6E15228E"/>
    <w:rsid w:val="6E2A6457"/>
    <w:rsid w:val="6E440C36"/>
    <w:rsid w:val="6E4461A8"/>
    <w:rsid w:val="6E91149C"/>
    <w:rsid w:val="6E9F005B"/>
    <w:rsid w:val="6ED66FFF"/>
    <w:rsid w:val="6EDB2C8D"/>
    <w:rsid w:val="6F0023A6"/>
    <w:rsid w:val="6F0F1218"/>
    <w:rsid w:val="6F146037"/>
    <w:rsid w:val="6F4C41A7"/>
    <w:rsid w:val="6F963331"/>
    <w:rsid w:val="6FAA58A8"/>
    <w:rsid w:val="6FBF05CD"/>
    <w:rsid w:val="6FD23163"/>
    <w:rsid w:val="6FD46620"/>
    <w:rsid w:val="6FEE6859"/>
    <w:rsid w:val="7014594B"/>
    <w:rsid w:val="701B7F3D"/>
    <w:rsid w:val="701D55D2"/>
    <w:rsid w:val="7025202A"/>
    <w:rsid w:val="702C150A"/>
    <w:rsid w:val="70354720"/>
    <w:rsid w:val="703C6C8D"/>
    <w:rsid w:val="705E5EB9"/>
    <w:rsid w:val="706236D5"/>
    <w:rsid w:val="70634C9B"/>
    <w:rsid w:val="70A36DFF"/>
    <w:rsid w:val="70B4672C"/>
    <w:rsid w:val="70C81AFA"/>
    <w:rsid w:val="70D91371"/>
    <w:rsid w:val="70EF3A0A"/>
    <w:rsid w:val="70FA1C4F"/>
    <w:rsid w:val="71195155"/>
    <w:rsid w:val="71203AF1"/>
    <w:rsid w:val="714C6061"/>
    <w:rsid w:val="716E6137"/>
    <w:rsid w:val="717F1146"/>
    <w:rsid w:val="7192405E"/>
    <w:rsid w:val="71BB7428"/>
    <w:rsid w:val="71C52E35"/>
    <w:rsid w:val="71CF6A74"/>
    <w:rsid w:val="71DA2ED7"/>
    <w:rsid w:val="721111A3"/>
    <w:rsid w:val="72217DB2"/>
    <w:rsid w:val="72247A3C"/>
    <w:rsid w:val="72275B22"/>
    <w:rsid w:val="724505ED"/>
    <w:rsid w:val="72503EEC"/>
    <w:rsid w:val="72647B4C"/>
    <w:rsid w:val="727A6C80"/>
    <w:rsid w:val="72921744"/>
    <w:rsid w:val="72936CD4"/>
    <w:rsid w:val="72E9373E"/>
    <w:rsid w:val="73092033"/>
    <w:rsid w:val="7310400B"/>
    <w:rsid w:val="734B50C9"/>
    <w:rsid w:val="73616198"/>
    <w:rsid w:val="736C1957"/>
    <w:rsid w:val="737221DF"/>
    <w:rsid w:val="73BC337C"/>
    <w:rsid w:val="73CF0AAD"/>
    <w:rsid w:val="73F76617"/>
    <w:rsid w:val="74003943"/>
    <w:rsid w:val="7409275E"/>
    <w:rsid w:val="7449682B"/>
    <w:rsid w:val="74696092"/>
    <w:rsid w:val="748A2F36"/>
    <w:rsid w:val="74AB63BC"/>
    <w:rsid w:val="74B30224"/>
    <w:rsid w:val="74B7282A"/>
    <w:rsid w:val="74C03424"/>
    <w:rsid w:val="74D663DF"/>
    <w:rsid w:val="74DB58B5"/>
    <w:rsid w:val="74F14FEE"/>
    <w:rsid w:val="75010F9C"/>
    <w:rsid w:val="75136117"/>
    <w:rsid w:val="75213097"/>
    <w:rsid w:val="752B063D"/>
    <w:rsid w:val="755156C2"/>
    <w:rsid w:val="755B0AC2"/>
    <w:rsid w:val="75841FA2"/>
    <w:rsid w:val="75D036BC"/>
    <w:rsid w:val="75D04645"/>
    <w:rsid w:val="75EB5E50"/>
    <w:rsid w:val="761A77B5"/>
    <w:rsid w:val="762151E2"/>
    <w:rsid w:val="7639080D"/>
    <w:rsid w:val="765774BA"/>
    <w:rsid w:val="76716C1B"/>
    <w:rsid w:val="767C207F"/>
    <w:rsid w:val="76A20440"/>
    <w:rsid w:val="76B24B53"/>
    <w:rsid w:val="76CD72B6"/>
    <w:rsid w:val="76DE5424"/>
    <w:rsid w:val="76F54F83"/>
    <w:rsid w:val="76F62D8A"/>
    <w:rsid w:val="771D2044"/>
    <w:rsid w:val="77576BCA"/>
    <w:rsid w:val="778416A2"/>
    <w:rsid w:val="778E08E9"/>
    <w:rsid w:val="7790075E"/>
    <w:rsid w:val="77900F6E"/>
    <w:rsid w:val="779E35EA"/>
    <w:rsid w:val="779F3F26"/>
    <w:rsid w:val="77AE2281"/>
    <w:rsid w:val="77E003C5"/>
    <w:rsid w:val="77EC3428"/>
    <w:rsid w:val="77FF6A1C"/>
    <w:rsid w:val="78033886"/>
    <w:rsid w:val="780B1272"/>
    <w:rsid w:val="78272BEB"/>
    <w:rsid w:val="78312BBA"/>
    <w:rsid w:val="78491929"/>
    <w:rsid w:val="78523D70"/>
    <w:rsid w:val="788D1A38"/>
    <w:rsid w:val="78CB4195"/>
    <w:rsid w:val="794D4A40"/>
    <w:rsid w:val="797C0D03"/>
    <w:rsid w:val="799873D8"/>
    <w:rsid w:val="79A429B0"/>
    <w:rsid w:val="79FD6B7F"/>
    <w:rsid w:val="7A07333D"/>
    <w:rsid w:val="7A30646B"/>
    <w:rsid w:val="7A83214E"/>
    <w:rsid w:val="7ABC63E4"/>
    <w:rsid w:val="7AC92935"/>
    <w:rsid w:val="7B001CA7"/>
    <w:rsid w:val="7B163A21"/>
    <w:rsid w:val="7B181824"/>
    <w:rsid w:val="7B187759"/>
    <w:rsid w:val="7B961B6F"/>
    <w:rsid w:val="7BA47418"/>
    <w:rsid w:val="7BDE73D2"/>
    <w:rsid w:val="7C2820AC"/>
    <w:rsid w:val="7C445B73"/>
    <w:rsid w:val="7C697BA6"/>
    <w:rsid w:val="7C7B7407"/>
    <w:rsid w:val="7C7C4CCC"/>
    <w:rsid w:val="7C8258D8"/>
    <w:rsid w:val="7C827F82"/>
    <w:rsid w:val="7C914FDC"/>
    <w:rsid w:val="7C9D588C"/>
    <w:rsid w:val="7CB23B5C"/>
    <w:rsid w:val="7CB57179"/>
    <w:rsid w:val="7CCF32FB"/>
    <w:rsid w:val="7D0012B0"/>
    <w:rsid w:val="7D3B5D2A"/>
    <w:rsid w:val="7D3E4DED"/>
    <w:rsid w:val="7D3F1A4B"/>
    <w:rsid w:val="7D4B32BC"/>
    <w:rsid w:val="7D540061"/>
    <w:rsid w:val="7D5709FA"/>
    <w:rsid w:val="7D5B705E"/>
    <w:rsid w:val="7D712824"/>
    <w:rsid w:val="7D727822"/>
    <w:rsid w:val="7D763230"/>
    <w:rsid w:val="7D7A4F47"/>
    <w:rsid w:val="7D7C75B9"/>
    <w:rsid w:val="7D9C2CA9"/>
    <w:rsid w:val="7DA42C0C"/>
    <w:rsid w:val="7DBD6846"/>
    <w:rsid w:val="7DC95C8F"/>
    <w:rsid w:val="7DDA627E"/>
    <w:rsid w:val="7DE75A87"/>
    <w:rsid w:val="7DF20C8E"/>
    <w:rsid w:val="7DF24098"/>
    <w:rsid w:val="7E087335"/>
    <w:rsid w:val="7E3F78A9"/>
    <w:rsid w:val="7E4169D3"/>
    <w:rsid w:val="7E721350"/>
    <w:rsid w:val="7EEB1A17"/>
    <w:rsid w:val="7EF84793"/>
    <w:rsid w:val="7F3B0012"/>
    <w:rsid w:val="7F3B585C"/>
    <w:rsid w:val="7F3F2BD0"/>
    <w:rsid w:val="7F86021C"/>
    <w:rsid w:val="7F8B08DB"/>
    <w:rsid w:val="7F906520"/>
    <w:rsid w:val="7FA0617C"/>
    <w:rsid w:val="7FD33E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val="0"/>
      <w:keepLines w:val="0"/>
      <w:adjustRightInd w:val="0"/>
      <w:snapToGrid w:val="0"/>
      <w:spacing w:before="260" w:after="260" w:line="416" w:lineRule="atLeast"/>
      <w:ind w:firstLine="200" w:firstLineChars="200"/>
      <w:outlineLvl w:val="1"/>
    </w:pPr>
    <w:rPr>
      <w:rFonts w:ascii="Arial" w:hAnsi="Arial"/>
      <w:b/>
      <w:bCs/>
      <w:szCs w:val="32"/>
    </w:rPr>
  </w:style>
  <w:style w:type="paragraph" w:styleId="5">
    <w:name w:val="heading 3"/>
    <w:basedOn w:val="1"/>
    <w:next w:val="1"/>
    <w:unhideWhenUsed/>
    <w:qFormat/>
    <w:uiPriority w:val="0"/>
    <w:pPr>
      <w:keepNext/>
      <w:keepLines/>
      <w:spacing w:line="413" w:lineRule="auto"/>
      <w:outlineLvl w:val="2"/>
    </w:pPr>
    <w:rPr>
      <w:b/>
      <w:sz w:val="32"/>
    </w:rPr>
  </w:style>
  <w:style w:type="paragraph" w:styleId="6">
    <w:name w:val="heading 4"/>
    <w:basedOn w:val="1"/>
    <w:next w:val="1"/>
    <w:unhideWhenUsed/>
    <w:qFormat/>
    <w:uiPriority w:val="0"/>
    <w:pPr>
      <w:spacing w:before="100" w:beforeAutospacing="1" w:after="100" w:afterAutospacing="1"/>
      <w:jc w:val="left"/>
      <w:outlineLvl w:val="3"/>
    </w:pPr>
    <w:rPr>
      <w:rFonts w:hint="eastAsia" w:ascii="宋体" w:hAnsi="宋体" w:eastAsia="宋体"/>
      <w:b/>
      <w:kern w:val="0"/>
      <w:sz w:val="24"/>
    </w:rPr>
  </w:style>
  <w:style w:type="paragraph" w:styleId="7">
    <w:name w:val="heading 6"/>
    <w:basedOn w:val="1"/>
    <w:next w:val="8"/>
    <w:qFormat/>
    <w:uiPriority w:val="9"/>
    <w:pPr>
      <w:keepNext/>
      <w:autoSpaceDE w:val="0"/>
      <w:autoSpaceDN w:val="0"/>
      <w:spacing w:line="360" w:lineRule="auto"/>
      <w:jc w:val="center"/>
      <w:outlineLvl w:val="5"/>
    </w:pPr>
    <w:rPr>
      <w:rFonts w:ascii="宋体"/>
      <w:color w:val="000000"/>
      <w:sz w:val="24"/>
      <w:u w:val="double"/>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ind w:firstLine="0" w:firstLineChars="0"/>
    </w:pPr>
    <w:rPr>
      <w:rFonts w:ascii="宋体" w:hAnsi="宋体"/>
      <w:sz w:val="21"/>
    </w:rPr>
  </w:style>
  <w:style w:type="paragraph" w:styleId="8">
    <w:name w:val="Normal Indent"/>
    <w:basedOn w:val="1"/>
    <w:unhideWhenUsed/>
    <w:qFormat/>
    <w:uiPriority w:val="99"/>
    <w:pPr>
      <w:ind w:firstLine="420"/>
    </w:pPr>
  </w:style>
  <w:style w:type="paragraph" w:styleId="9">
    <w:name w:val="annotation text"/>
    <w:basedOn w:val="1"/>
    <w:qFormat/>
    <w:uiPriority w:val="0"/>
    <w:pPr>
      <w:jc w:val="left"/>
    </w:pPr>
  </w:style>
  <w:style w:type="paragraph" w:styleId="10">
    <w:name w:val="Body Text Indent"/>
    <w:basedOn w:val="1"/>
    <w:unhideWhenUsed/>
    <w:qFormat/>
    <w:uiPriority w:val="99"/>
    <w:pPr>
      <w:widowControl w:val="0"/>
      <w:adjustRightInd w:val="0"/>
      <w:spacing w:line="300" w:lineRule="auto"/>
      <w:ind w:left="898" w:firstLine="2"/>
      <w:textAlignment w:val="baseline"/>
    </w:pPr>
    <w:rPr>
      <w:rFonts w:ascii="仿宋_GB2312" w:hAnsi="MS Sans Serif" w:eastAsia="仿宋_GB2312" w:cs="Times New Roman"/>
      <w:sz w:val="28"/>
      <w:lang w:val="en-US" w:eastAsia="zh-CN" w:bidi="ar-SA"/>
    </w:rPr>
  </w:style>
  <w:style w:type="paragraph" w:styleId="11">
    <w:name w:val="Plain Text"/>
    <w:qFormat/>
    <w:uiPriority w:val="0"/>
    <w:pPr>
      <w:spacing w:before="100" w:beforeAutospacing="1" w:after="100" w:afterAutospacing="1"/>
    </w:pPr>
    <w:rPr>
      <w:rFonts w:ascii="宋体" w:hAnsi="宋体" w:eastAsia="宋体" w:cs="宋体"/>
      <w:sz w:val="24"/>
      <w:szCs w:val="24"/>
      <w:lang w:val="en-US" w:eastAsia="zh-CN" w:bidi="ar-SA"/>
    </w:rPr>
  </w:style>
  <w:style w:type="paragraph" w:styleId="12">
    <w:name w:val="Date"/>
    <w:next w:val="1"/>
    <w:unhideWhenUsed/>
    <w:qFormat/>
    <w:uiPriority w:val="0"/>
    <w:pPr>
      <w:widowControl w:val="0"/>
      <w:adjustRightInd w:val="0"/>
      <w:spacing w:line="360" w:lineRule="atLeast"/>
      <w:jc w:val="both"/>
      <w:textAlignment w:val="baseline"/>
    </w:pPr>
    <w:rPr>
      <w:rFonts w:ascii="华文楷体" w:hAnsi="Times New Roman" w:eastAsia="华文楷体" w:cs="Times New Roman"/>
      <w:sz w:val="21"/>
      <w:lang w:val="en-US" w:eastAsia="zh-CN" w:bidi="ar-SA"/>
    </w:rPr>
  </w:style>
  <w:style w:type="paragraph" w:styleId="13">
    <w:name w:val="Balloon Text"/>
    <w:basedOn w:val="1"/>
    <w:link w:val="41"/>
    <w:qFormat/>
    <w:uiPriority w:val="0"/>
    <w:rPr>
      <w:sz w:val="18"/>
      <w:szCs w:val="18"/>
    </w:rPr>
  </w:style>
  <w:style w:type="paragraph" w:styleId="14">
    <w:name w:val="footer"/>
    <w:basedOn w:val="1"/>
    <w:qFormat/>
    <w:uiPriority w:val="0"/>
    <w:pPr>
      <w:tabs>
        <w:tab w:val="center" w:pos="4153"/>
        <w:tab w:val="right" w:pos="8306"/>
      </w:tabs>
      <w:adjustRightInd w:val="0"/>
      <w:snapToGrid w:val="0"/>
      <w:spacing w:line="240" w:lineRule="atLeast"/>
      <w:ind w:firstLine="200" w:firstLineChars="200"/>
    </w:pPr>
    <w:rPr>
      <w:rFonts w:eastAsia="宋体"/>
      <w:sz w:val="18"/>
      <w:szCs w:val="18"/>
    </w:rPr>
  </w:style>
  <w:style w:type="paragraph" w:styleId="15">
    <w:name w:val="header"/>
    <w:qFormat/>
    <w:uiPriority w:val="0"/>
    <w:pPr>
      <w:widowControl w:val="0"/>
      <w:pBdr>
        <w:bottom w:val="single" w:color="auto" w:sz="6" w:space="1"/>
      </w:pBdr>
      <w:tabs>
        <w:tab w:val="center" w:pos="4153"/>
        <w:tab w:val="right" w:pos="8306"/>
      </w:tabs>
      <w:adjustRightInd w:val="0"/>
      <w:snapToGrid w:val="0"/>
      <w:spacing w:line="240" w:lineRule="atLeast"/>
      <w:ind w:firstLine="200" w:firstLineChars="200"/>
      <w:jc w:val="center"/>
    </w:pPr>
    <w:rPr>
      <w:rFonts w:ascii="Times New Roman" w:hAnsi="Times New Roman" w:eastAsia="宋体" w:cs="Times New Roman"/>
      <w:kern w:val="2"/>
      <w:sz w:val="18"/>
      <w:szCs w:val="18"/>
      <w:lang w:val="en-US" w:eastAsia="zh-CN" w:bidi="ar-SA"/>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HTML Preformatt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宋体" w:cs="Times New Roman"/>
      <w:lang w:val="en-US" w:eastAsia="zh-CN" w:bidi="ar-SA"/>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Body Text First Indent 2"/>
    <w:basedOn w:val="10"/>
    <w:unhideWhenUsed/>
    <w:qFormat/>
    <w:uiPriority w:val="99"/>
    <w:pPr>
      <w:ind w:firstLine="420" w:firstLineChars="200"/>
    </w:pPr>
  </w:style>
  <w:style w:type="table" w:styleId="2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Strong"/>
    <w:basedOn w:val="23"/>
    <w:qFormat/>
    <w:uiPriority w:val="22"/>
    <w:rPr>
      <w:b/>
      <w:bCs/>
    </w:rPr>
  </w:style>
  <w:style w:type="character" w:styleId="25">
    <w:name w:val="page number"/>
    <w:qFormat/>
    <w:uiPriority w:val="99"/>
  </w:style>
  <w:style w:type="character" w:styleId="26">
    <w:name w:val="Hyperlink"/>
    <w:basedOn w:val="23"/>
    <w:qFormat/>
    <w:uiPriority w:val="99"/>
    <w:rPr>
      <w:color w:val="0000FF"/>
      <w:u w:val="single"/>
    </w:rPr>
  </w:style>
  <w:style w:type="paragraph" w:styleId="27">
    <w:name w:val="List Paragraph"/>
    <w:basedOn w:val="1"/>
    <w:next w:val="1"/>
    <w:qFormat/>
    <w:uiPriority w:val="34"/>
    <w:pPr>
      <w:ind w:firstLine="420"/>
    </w:pPr>
    <w:rPr>
      <w:rFonts w:ascii="Calibri" w:hAnsi="Calibri" w:eastAsia="宋体"/>
      <w:sz w:val="21"/>
      <w:szCs w:val="22"/>
    </w:rPr>
  </w:style>
  <w:style w:type="paragraph" w:customStyle="1" w:styleId="28">
    <w:name w:val="金晓阳正文 1"/>
    <w:qFormat/>
    <w:uiPriority w:val="0"/>
    <w:pPr>
      <w:widowControl w:val="0"/>
      <w:spacing w:line="360" w:lineRule="auto"/>
      <w:ind w:firstLine="480"/>
      <w:jc w:val="both"/>
    </w:pPr>
    <w:rPr>
      <w:rFonts w:ascii="宋体" w:hAnsi="宋体" w:eastAsia="宋体" w:cs="Times New Roman"/>
      <w:sz w:val="24"/>
      <w:szCs w:val="24"/>
      <w:lang w:val="en-US" w:eastAsia="zh-CN" w:bidi="ar-SA"/>
    </w:rPr>
  </w:style>
  <w:style w:type="paragraph" w:customStyle="1" w:styleId="29">
    <w:name w:val="辛龙正文 1"/>
    <w:qFormat/>
    <w:uiPriority w:val="99"/>
    <w:pPr>
      <w:widowControl w:val="0"/>
      <w:spacing w:line="360" w:lineRule="auto"/>
      <w:ind w:firstLine="480" w:firstLineChars="200"/>
      <w:jc w:val="both"/>
    </w:pPr>
    <w:rPr>
      <w:rFonts w:ascii="宋体" w:hAnsi="宋体" w:eastAsia="宋体" w:cs="Times New Roman"/>
      <w:bCs/>
      <w:color w:val="000000"/>
      <w:sz w:val="24"/>
      <w:szCs w:val="24"/>
      <w:lang w:val="en-US" w:eastAsia="zh-CN" w:bidi="ar-SA"/>
    </w:rPr>
  </w:style>
  <w:style w:type="paragraph" w:styleId="30">
    <w:name w:val="No Spacing"/>
    <w:qFormat/>
    <w:uiPriority w:val="1"/>
    <w:rPr>
      <w:rFonts w:ascii="Calibri" w:hAnsi="Calibri" w:eastAsia="宋体" w:cs="Times New Roman"/>
      <w:sz w:val="22"/>
      <w:szCs w:val="22"/>
      <w:lang w:val="en-US" w:eastAsia="zh-CN" w:bidi="ar-SA"/>
    </w:rPr>
  </w:style>
  <w:style w:type="paragraph" w:customStyle="1" w:styleId="31">
    <w:name w:val="附注-标题3"/>
    <w:qFormat/>
    <w:uiPriority w:val="0"/>
    <w:pPr>
      <w:tabs>
        <w:tab w:val="left" w:pos="1125"/>
      </w:tabs>
      <w:spacing w:beforeLines="25" w:afterLines="25" w:line="360" w:lineRule="auto"/>
      <w:ind w:left="1125" w:hanging="720"/>
      <w:outlineLvl w:val="1"/>
    </w:pPr>
    <w:rPr>
      <w:rFonts w:ascii="Arial Narrow" w:hAnsi="Arial Narrow" w:eastAsia="宋体" w:cs="Times New Roman"/>
      <w:b/>
      <w:kern w:val="2"/>
      <w:sz w:val="21"/>
      <w:szCs w:val="21"/>
      <w:lang w:val="en-US" w:eastAsia="zh-CN" w:bidi="ar-SA"/>
    </w:rPr>
  </w:style>
  <w:style w:type="paragraph" w:customStyle="1" w:styleId="32">
    <w:name w:val="附注－正文"/>
    <w:qFormat/>
    <w:uiPriority w:val="0"/>
    <w:pPr>
      <w:widowControl w:val="0"/>
      <w:adjustRightInd w:val="0"/>
      <w:snapToGrid w:val="0"/>
      <w:spacing w:afterLines="50" w:line="360" w:lineRule="auto"/>
      <w:ind w:firstLine="200" w:firstLineChars="200"/>
      <w:jc w:val="both"/>
    </w:pPr>
    <w:rPr>
      <w:rFonts w:ascii="Times New Roman" w:hAnsi="Times New Roman" w:eastAsia="宋体" w:cs="Times New Roman"/>
      <w:kern w:val="2"/>
      <w:sz w:val="21"/>
      <w:lang w:val="en-US" w:eastAsia="zh-CN" w:bidi="ar-SA"/>
    </w:rPr>
  </w:style>
  <w:style w:type="paragraph" w:customStyle="1" w:styleId="33">
    <w:name w:val="附注－标题五"/>
    <w:next w:val="32"/>
    <w:qFormat/>
    <w:uiPriority w:val="0"/>
    <w:pPr>
      <w:widowControl w:val="0"/>
      <w:tabs>
        <w:tab w:val="left" w:pos="720"/>
      </w:tabs>
      <w:adjustRightInd w:val="0"/>
      <w:snapToGrid w:val="0"/>
      <w:spacing w:before="120" w:afterLines="50" w:line="360" w:lineRule="auto"/>
      <w:jc w:val="both"/>
    </w:pPr>
    <w:rPr>
      <w:rFonts w:ascii="Arial Narrow" w:hAnsi="Arial Narrow" w:eastAsia="宋体" w:cs="Times New Roman"/>
      <w:b/>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5">
    <w:name w:val="fontstyle01"/>
    <w:qFormat/>
    <w:uiPriority w:val="0"/>
    <w:rPr>
      <w:rFonts w:hint="eastAsia" w:ascii="宋体" w:hAnsi="宋体" w:eastAsia="宋体"/>
      <w:color w:val="000000"/>
      <w:sz w:val="24"/>
      <w:szCs w:val="24"/>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8">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9">
    <w:name w:val="font01"/>
    <w:basedOn w:val="23"/>
    <w:qFormat/>
    <w:uiPriority w:val="0"/>
    <w:rPr>
      <w:rFonts w:hint="eastAsia" w:ascii="宋体" w:hAnsi="宋体" w:eastAsia="宋体" w:cs="宋体"/>
      <w:color w:val="000000"/>
      <w:sz w:val="24"/>
      <w:szCs w:val="24"/>
      <w:u w:val="none"/>
    </w:rPr>
  </w:style>
  <w:style w:type="character" w:customStyle="1" w:styleId="40">
    <w:name w:val="font11"/>
    <w:basedOn w:val="23"/>
    <w:qFormat/>
    <w:uiPriority w:val="0"/>
    <w:rPr>
      <w:rFonts w:hint="eastAsia" w:ascii="仿宋_GB2312" w:eastAsia="仿宋_GB2312" w:cs="仿宋_GB2312"/>
      <w:color w:val="000000"/>
      <w:sz w:val="24"/>
      <w:szCs w:val="24"/>
      <w:u w:val="none"/>
    </w:rPr>
  </w:style>
  <w:style w:type="character" w:customStyle="1" w:styleId="41">
    <w:name w:val="批注框文本 Char"/>
    <w:basedOn w:val="23"/>
    <w:link w:val="13"/>
    <w:qFormat/>
    <w:uiPriority w:val="0"/>
    <w:rPr>
      <w:rFonts w:ascii="Times New Roman" w:hAnsi="Times New Roman" w:eastAsia="宋体" w:cs="Times New Roman"/>
      <w:kern w:val="2"/>
      <w:sz w:val="18"/>
      <w:szCs w:val="18"/>
    </w:rPr>
  </w:style>
  <w:style w:type="character" w:customStyle="1" w:styleId="42">
    <w:name w:val="font71"/>
    <w:basedOn w:val="23"/>
    <w:qFormat/>
    <w:uiPriority w:val="0"/>
    <w:rPr>
      <w:rFonts w:hint="eastAsia" w:ascii="仿宋" w:hAnsi="仿宋" w:eastAsia="仿宋" w:cs="仿宋"/>
      <w:b/>
      <w:color w:val="000000"/>
      <w:sz w:val="24"/>
      <w:szCs w:val="24"/>
      <w:u w:val="none"/>
    </w:rPr>
  </w:style>
  <w:style w:type="character" w:customStyle="1" w:styleId="43">
    <w:name w:val="font61"/>
    <w:basedOn w:val="23"/>
    <w:qFormat/>
    <w:uiPriority w:val="0"/>
    <w:rPr>
      <w:rFonts w:hint="eastAsia" w:ascii="仿宋" w:hAnsi="仿宋" w:eastAsia="仿宋" w:cs="仿宋"/>
      <w:b/>
      <w:color w:val="000000"/>
      <w:sz w:val="24"/>
      <w:szCs w:val="24"/>
      <w:u w:val="none"/>
    </w:rPr>
  </w:style>
  <w:style w:type="character" w:customStyle="1" w:styleId="44">
    <w:name w:val="font41"/>
    <w:basedOn w:val="23"/>
    <w:qFormat/>
    <w:uiPriority w:val="0"/>
    <w:rPr>
      <w:rFonts w:hint="eastAsia" w:ascii="仿宋" w:hAnsi="仿宋" w:eastAsia="仿宋" w:cs="仿宋"/>
      <w:b/>
      <w:color w:val="000000"/>
      <w:sz w:val="24"/>
      <w:szCs w:val="24"/>
      <w:u w:val="none"/>
    </w:rPr>
  </w:style>
  <w:style w:type="character" w:customStyle="1" w:styleId="45">
    <w:name w:val="font51"/>
    <w:basedOn w:val="23"/>
    <w:qFormat/>
    <w:uiPriority w:val="0"/>
    <w:rPr>
      <w:rFonts w:hint="eastAsia" w:ascii="仿宋" w:hAnsi="仿宋" w:eastAsia="仿宋" w:cs="仿宋"/>
      <w:b/>
      <w:color w:val="000000"/>
      <w:sz w:val="24"/>
      <w:szCs w:val="24"/>
      <w:u w:val="none"/>
    </w:rPr>
  </w:style>
  <w:style w:type="character" w:customStyle="1" w:styleId="46">
    <w:name w:val="font31"/>
    <w:basedOn w:val="23"/>
    <w:qFormat/>
    <w:uiPriority w:val="0"/>
    <w:rPr>
      <w:rFonts w:hint="eastAsia" w:ascii="宋体" w:hAnsi="宋体" w:eastAsia="宋体" w:cs="宋体"/>
      <w:b/>
      <w:color w:val="000000"/>
      <w:sz w:val="24"/>
      <w:szCs w:val="24"/>
      <w:u w:val="none"/>
    </w:rPr>
  </w:style>
  <w:style w:type="character" w:customStyle="1" w:styleId="47">
    <w:name w:val="font21"/>
    <w:basedOn w:val="23"/>
    <w:qFormat/>
    <w:uiPriority w:val="0"/>
    <w:rPr>
      <w:rFonts w:hint="eastAsia" w:ascii="宋体" w:hAnsi="宋体" w:eastAsia="宋体" w:cs="宋体"/>
      <w:color w:val="000000"/>
      <w:sz w:val="22"/>
      <w:szCs w:val="22"/>
      <w:u w:val="none"/>
    </w:rPr>
  </w:style>
  <w:style w:type="paragraph" w:customStyle="1" w:styleId="48">
    <w:name w:val="列出段落1"/>
    <w:basedOn w:val="1"/>
    <w:qFormat/>
    <w:uiPriority w:val="0"/>
    <w:pPr>
      <w:ind w:firstLine="420" w:firstLineChars="200"/>
    </w:pPr>
  </w:style>
  <w:style w:type="character" w:customStyle="1" w:styleId="49">
    <w:name w:val="NormalCharacter"/>
    <w:semiHidden/>
    <w:qFormat/>
    <w:uiPriority w:val="0"/>
    <w:rPr>
      <w:kern w:val="2"/>
      <w:sz w:val="21"/>
      <w:szCs w:val="24"/>
      <w:lang w:val="en-US" w:eastAsia="zh-CN" w:bidi="ar-SA"/>
    </w:rPr>
  </w:style>
  <w:style w:type="paragraph" w:customStyle="1" w:styleId="50">
    <w:name w:val="正文样式"/>
    <w:basedOn w:val="1"/>
    <w:qFormat/>
    <w:uiPriority w:val="0"/>
    <w:pPr>
      <w:spacing w:line="360" w:lineRule="auto"/>
      <w:ind w:firstLine="480"/>
    </w:pPr>
    <w:rPr>
      <w:rFonts w:ascii="宋体" w:hAnsi="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72"/>
    <customShpInfo spid="_x0000_s1186"/>
    <customShpInfo spid="_x0000_s1185"/>
    <customShpInfo spid="_x0000_s1190"/>
    <customShpInfo spid="_x0000_s1189"/>
    <customShpInfo spid="_x0000_s1212"/>
    <customShpInfo spid="_x0000_s1188"/>
    <customShpInfo spid="_x0000_s1187"/>
    <customShpInfo spid="_x0000_s1070"/>
    <customShpInfo spid="_x0000_s1069"/>
    <customShpInfo spid="_x0000_s106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ECB2C-5A01-4BB4-86B8-D770AA66302D}">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113</Pages>
  <Words>9799</Words>
  <Characters>55860</Characters>
  <Lines>465</Lines>
  <Paragraphs>131</Paragraphs>
  <TotalTime>1</TotalTime>
  <ScaleCrop>false</ScaleCrop>
  <LinksUpToDate>false</LinksUpToDate>
  <CharactersWithSpaces>65528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金箍棒</cp:lastModifiedBy>
  <cp:lastPrinted>2021-01-27T01:11:00Z</cp:lastPrinted>
  <dcterms:modified xsi:type="dcterms:W3CDTF">2021-08-20T00:16:17Z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C3F5EAD304614273B26C6E30E7D2BD3B</vt:lpwstr>
  </property>
</Properties>
</file>