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淄博曼城电子商务有限公司</w:t>
      </w:r>
    </w:p>
    <w:p>
      <w:pPr>
        <w:jc w:val="center"/>
        <w:rPr>
          <w:rFonts w:ascii="黑体" w:hAnsi="黑体" w:eastAsia="黑体" w:cs="黑体"/>
          <w:b/>
          <w:bCs/>
          <w:sz w:val="44"/>
          <w:szCs w:val="44"/>
        </w:rPr>
      </w:pPr>
      <w:r>
        <w:rPr>
          <w:rFonts w:hint="eastAsia" w:ascii="黑体" w:hAnsi="黑体" w:eastAsia="黑体" w:cs="黑体"/>
          <w:b/>
          <w:bCs/>
          <w:sz w:val="44"/>
          <w:szCs w:val="44"/>
        </w:rPr>
        <w:t>挂牌转让说明书摘要</w:t>
      </w:r>
    </w:p>
    <w:p>
      <w:pPr>
        <w:ind w:firstLine="2530" w:firstLineChars="900"/>
        <w:rPr>
          <w:rFonts w:ascii="黑体" w:hAnsi="黑体" w:eastAsia="黑体" w:cs="黑体"/>
          <w:b/>
          <w:bCs/>
          <w:sz w:val="28"/>
          <w:szCs w:val="28"/>
        </w:rPr>
      </w:pPr>
      <w:r>
        <w:rPr>
          <w:rFonts w:hint="eastAsia" w:ascii="黑体" w:hAnsi="黑体" w:eastAsia="黑体" w:cs="黑体"/>
          <w:b/>
          <w:bCs/>
          <w:sz w:val="28"/>
          <w:szCs w:val="28"/>
        </w:rPr>
        <w:t>（申请板块：成长板）</w:t>
      </w:r>
    </w:p>
    <w:p>
      <w:pPr>
        <w:ind w:firstLine="640" w:firstLineChars="200"/>
        <w:jc w:val="center"/>
        <w:rPr>
          <w:rFonts w:ascii="仿宋" w:hAnsi="仿宋" w:eastAsia="仿宋" w:cs="仿宋"/>
          <w:sz w:val="32"/>
          <w:szCs w:val="32"/>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声 明</w:t>
      </w:r>
    </w:p>
    <w:p>
      <w:pPr>
        <w:jc w:val="cente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eastAsia="仿宋" w:cs="仿宋"/>
          <w:sz w:val="32"/>
          <w:szCs w:val="32"/>
        </w:rPr>
      </w:pPr>
      <w:r>
        <w:rPr>
          <w:rFonts w:hint="eastAsia" w:ascii="仿宋" w:hAnsi="仿宋" w:eastAsia="仿宋" w:cs="仿宋"/>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sdt>
      <w:sdtPr>
        <w:rPr>
          <w:rFonts w:ascii="宋体" w:hAnsi="宋体"/>
          <w:b/>
          <w:bCs/>
          <w:sz w:val="28"/>
          <w:szCs w:val="36"/>
        </w:rPr>
        <w:id w:val="147459893"/>
        <w15:color w:val="DBDBDB"/>
        <w:docPartObj>
          <w:docPartGallery w:val="Table of Contents"/>
          <w:docPartUnique/>
        </w:docPartObj>
      </w:sdtPr>
      <w:sdtEndPr>
        <w:rPr>
          <w:rFonts w:ascii="Times New Roman" w:hAnsi="Times New Roman"/>
          <w:b/>
          <w:bCs/>
          <w:sz w:val="24"/>
          <w:szCs w:val="36"/>
        </w:rPr>
      </w:sdtEndPr>
      <w:sdtContent>
        <w:p>
          <w:pPr>
            <w:spacing w:line="240" w:lineRule="auto"/>
            <w:jc w:val="center"/>
            <w:rPr>
              <w:b/>
              <w:bCs/>
              <w:sz w:val="36"/>
              <w:szCs w:val="36"/>
            </w:rPr>
          </w:pPr>
          <w:r>
            <w:rPr>
              <w:rFonts w:ascii="宋体" w:hAnsi="宋体"/>
              <w:b/>
              <w:bCs/>
              <w:sz w:val="28"/>
              <w:szCs w:val="36"/>
            </w:rPr>
            <w:t>目</w:t>
          </w:r>
          <w:r>
            <w:rPr>
              <w:rFonts w:hint="eastAsia" w:ascii="宋体" w:hAnsi="宋体"/>
              <w:b/>
              <w:bCs/>
              <w:sz w:val="28"/>
              <w:szCs w:val="36"/>
              <w:lang w:val="en-US" w:eastAsia="zh-CN"/>
            </w:rPr>
            <w:t xml:space="preserve">  </w:t>
          </w:r>
          <w:r>
            <w:rPr>
              <w:rFonts w:ascii="宋体" w:hAnsi="宋体"/>
              <w:b/>
              <w:bCs/>
              <w:sz w:val="28"/>
              <w:szCs w:val="36"/>
            </w:rPr>
            <w:t>录</w:t>
          </w:r>
        </w:p>
        <w:p>
          <w:pPr>
            <w:pStyle w:val="10"/>
            <w:tabs>
              <w:tab w:val="right" w:leader="dot" w:pos="8306"/>
            </w:tabs>
          </w:pPr>
          <w:r>
            <w:fldChar w:fldCharType="begin"/>
          </w:r>
          <w:r>
            <w:instrText xml:space="preserve">TOC \o "1-2" \h \u </w:instrText>
          </w:r>
          <w:r>
            <w:fldChar w:fldCharType="separate"/>
          </w:r>
          <w:r>
            <w:fldChar w:fldCharType="begin"/>
          </w:r>
          <w:r>
            <w:instrText xml:space="preserve"> HYPERLINK \l _Toc10185 </w:instrText>
          </w:r>
          <w:r>
            <w:fldChar w:fldCharType="separate"/>
          </w:r>
          <w:r>
            <w:rPr>
              <w:rFonts w:hint="eastAsia"/>
            </w:rPr>
            <w:t>第一章  重大风险及重大事项提示</w:t>
          </w:r>
          <w:r>
            <w:tab/>
          </w:r>
          <w:r>
            <w:fldChar w:fldCharType="begin"/>
          </w:r>
          <w:r>
            <w:instrText xml:space="preserve"> PAGEREF _Toc10185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_Toc4430 </w:instrText>
          </w:r>
          <w:r>
            <w:fldChar w:fldCharType="separate"/>
          </w:r>
          <w:r>
            <w:rPr>
              <w:rFonts w:hint="eastAsia"/>
              <w:bCs/>
              <w:szCs w:val="22"/>
            </w:rPr>
            <w:t>一、重大风险提示及应对措施</w:t>
          </w:r>
          <w:r>
            <w:tab/>
          </w:r>
          <w:r>
            <w:fldChar w:fldCharType="begin"/>
          </w:r>
          <w:r>
            <w:instrText xml:space="preserve"> PAGEREF _Toc4430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_Toc10176 </w:instrText>
          </w:r>
          <w:r>
            <w:fldChar w:fldCharType="separate"/>
          </w:r>
          <w:r>
            <w:rPr>
              <w:rFonts w:hint="eastAsia"/>
            </w:rPr>
            <w:t>二、重大事项提示</w:t>
          </w:r>
          <w:r>
            <w:tab/>
          </w:r>
          <w:r>
            <w:fldChar w:fldCharType="begin"/>
          </w:r>
          <w:r>
            <w:instrText xml:space="preserve"> PAGEREF _Toc10176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_Toc31512 </w:instrText>
          </w:r>
          <w:r>
            <w:fldChar w:fldCharType="separate"/>
          </w:r>
          <w:r>
            <w:rPr>
              <w:rFonts w:hint="eastAsia"/>
            </w:rPr>
            <w:t>第二章  公司基本情况</w:t>
          </w:r>
          <w:r>
            <w:tab/>
          </w:r>
          <w:r>
            <w:fldChar w:fldCharType="begin"/>
          </w:r>
          <w:r>
            <w:instrText xml:space="preserve"> PAGEREF _Toc31512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_Toc19954 </w:instrText>
          </w:r>
          <w:r>
            <w:fldChar w:fldCharType="separate"/>
          </w:r>
          <w:r>
            <w:rPr>
              <w:rFonts w:hint="eastAsia"/>
            </w:rPr>
            <w:t>一、挂牌公司基本情况</w:t>
          </w:r>
          <w:r>
            <w:tab/>
          </w:r>
          <w:r>
            <w:fldChar w:fldCharType="begin"/>
          </w:r>
          <w:r>
            <w:instrText xml:space="preserve"> PAGEREF _Toc19954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_Toc31727 </w:instrText>
          </w:r>
          <w:r>
            <w:fldChar w:fldCharType="separate"/>
          </w:r>
          <w:r>
            <w:rPr>
              <w:rFonts w:hint="eastAsia"/>
            </w:rPr>
            <w:t>二、公司目前股权结构及股东情况</w:t>
          </w:r>
          <w:r>
            <w:tab/>
          </w:r>
          <w:r>
            <w:fldChar w:fldCharType="begin"/>
          </w:r>
          <w:r>
            <w:instrText xml:space="preserve"> PAGEREF _Toc31727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_Toc5830 </w:instrText>
          </w:r>
          <w:r>
            <w:fldChar w:fldCharType="separate"/>
          </w:r>
          <w:r>
            <w:rPr>
              <w:rFonts w:hint="eastAsia"/>
            </w:rPr>
            <w:t>三、公司组织结构</w:t>
          </w:r>
          <w:r>
            <w:tab/>
          </w:r>
          <w:r>
            <w:fldChar w:fldCharType="begin"/>
          </w:r>
          <w:r>
            <w:instrText xml:space="preserve"> PAGEREF _Toc5830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_Toc20105 </w:instrText>
          </w:r>
          <w:r>
            <w:fldChar w:fldCharType="separate"/>
          </w:r>
          <w:r>
            <w:rPr>
              <w:rFonts w:hint="eastAsia"/>
            </w:rPr>
            <w:t>四、公司主营</w:t>
          </w:r>
          <w:r>
            <w:rPr>
              <w:rFonts w:hint="eastAsia"/>
              <w:lang w:val="en-US" w:eastAsia="zh-CN"/>
            </w:rPr>
            <w:t>产品及业务</w:t>
          </w:r>
          <w:r>
            <w:rPr>
              <w:rFonts w:hint="eastAsia"/>
            </w:rPr>
            <w:t>情况</w:t>
          </w:r>
          <w:r>
            <w:tab/>
          </w:r>
          <w:r>
            <w:fldChar w:fldCharType="begin"/>
          </w:r>
          <w:r>
            <w:instrText xml:space="preserve"> PAGEREF _Toc20105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_Toc27230 </w:instrText>
          </w:r>
          <w:r>
            <w:fldChar w:fldCharType="separate"/>
          </w:r>
          <w:r>
            <w:rPr>
              <w:rFonts w:hint="eastAsia"/>
              <w:highlight w:val="none"/>
            </w:rPr>
            <w:t>五、公司财务报表简表</w:t>
          </w:r>
          <w:r>
            <w:tab/>
          </w:r>
          <w:r>
            <w:fldChar w:fldCharType="begin"/>
          </w:r>
          <w:r>
            <w:instrText xml:space="preserve"> PAGEREF _Toc27230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_Toc31158 </w:instrText>
          </w:r>
          <w:r>
            <w:fldChar w:fldCharType="separate"/>
          </w:r>
          <w:r>
            <w:rPr>
              <w:rFonts w:hint="eastAsia"/>
            </w:rPr>
            <w:t>六、公司经营目标及计划</w:t>
          </w:r>
          <w:r>
            <w:tab/>
          </w:r>
          <w:r>
            <w:fldChar w:fldCharType="begin"/>
          </w:r>
          <w:r>
            <w:instrText xml:space="preserve"> PAGEREF _Toc31158 \h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_Toc24213 </w:instrText>
          </w:r>
          <w:r>
            <w:fldChar w:fldCharType="separate"/>
          </w:r>
          <w:r>
            <w:rPr>
              <w:rFonts w:hint="eastAsia"/>
            </w:rPr>
            <w:t>第三章 本次挂牌的有关机构</w:t>
          </w:r>
          <w:r>
            <w:tab/>
          </w:r>
          <w:r>
            <w:fldChar w:fldCharType="begin"/>
          </w:r>
          <w:r>
            <w:instrText xml:space="preserve"> PAGEREF _Toc24213 \h </w:instrText>
          </w:r>
          <w:r>
            <w:fldChar w:fldCharType="separate"/>
          </w:r>
          <w:r>
            <w:t>17</w:t>
          </w:r>
          <w:r>
            <w:fldChar w:fldCharType="end"/>
          </w:r>
          <w:r>
            <w:fldChar w:fldCharType="end"/>
          </w:r>
        </w:p>
        <w:p>
          <w:pPr>
            <w:pStyle w:val="11"/>
            <w:tabs>
              <w:tab w:val="right" w:leader="dot" w:pos="8306"/>
            </w:tabs>
          </w:pPr>
          <w:r>
            <w:fldChar w:fldCharType="begin"/>
          </w:r>
          <w:r>
            <w:instrText xml:space="preserve"> HYPERLINK \l _Toc1266 </w:instrText>
          </w:r>
          <w:r>
            <w:fldChar w:fldCharType="separate"/>
          </w:r>
          <w:r>
            <w:rPr>
              <w:rFonts w:hint="eastAsia" w:ascii="宋体" w:hAnsi="宋体"/>
              <w:bCs/>
              <w:szCs w:val="28"/>
            </w:rPr>
            <w:t>一、推荐机构</w:t>
          </w:r>
          <w:r>
            <w:tab/>
          </w:r>
          <w:r>
            <w:fldChar w:fldCharType="begin"/>
          </w:r>
          <w:r>
            <w:instrText xml:space="preserve"> PAGEREF _Toc1266 \h </w:instrText>
          </w:r>
          <w:r>
            <w:fldChar w:fldCharType="separate"/>
          </w:r>
          <w:r>
            <w:t>17</w:t>
          </w:r>
          <w:r>
            <w:fldChar w:fldCharType="end"/>
          </w:r>
          <w:r>
            <w:fldChar w:fldCharType="end"/>
          </w:r>
        </w:p>
        <w:p>
          <w:pPr>
            <w:pStyle w:val="11"/>
            <w:tabs>
              <w:tab w:val="right" w:leader="dot" w:pos="8306"/>
            </w:tabs>
          </w:pPr>
          <w:r>
            <w:fldChar w:fldCharType="begin"/>
          </w:r>
          <w:r>
            <w:instrText xml:space="preserve"> HYPERLINK \l _Toc10719 </w:instrText>
          </w:r>
          <w:r>
            <w:fldChar w:fldCharType="separate"/>
          </w:r>
          <w:r>
            <w:rPr>
              <w:rFonts w:hint="eastAsia" w:ascii="宋体" w:hAnsi="宋体"/>
              <w:bCs/>
              <w:szCs w:val="28"/>
              <w:highlight w:val="none"/>
            </w:rPr>
            <w:t>二、审计机构</w:t>
          </w:r>
          <w:r>
            <w:tab/>
          </w:r>
          <w:r>
            <w:fldChar w:fldCharType="begin"/>
          </w:r>
          <w:r>
            <w:instrText xml:space="preserve"> PAGEREF _Toc10719 \h </w:instrText>
          </w:r>
          <w:r>
            <w:fldChar w:fldCharType="separate"/>
          </w:r>
          <w:r>
            <w:t>17</w:t>
          </w:r>
          <w:r>
            <w:fldChar w:fldCharType="end"/>
          </w:r>
          <w:r>
            <w:fldChar w:fldCharType="end"/>
          </w:r>
        </w:p>
        <w:p>
          <w:pPr>
            <w:pStyle w:val="11"/>
            <w:tabs>
              <w:tab w:val="right" w:leader="dot" w:pos="8306"/>
            </w:tabs>
          </w:pPr>
          <w:r>
            <w:fldChar w:fldCharType="begin"/>
          </w:r>
          <w:r>
            <w:instrText xml:space="preserve"> HYPERLINK \l _Toc28216 </w:instrText>
          </w:r>
          <w:r>
            <w:fldChar w:fldCharType="separate"/>
          </w:r>
          <w:r>
            <w:rPr>
              <w:rFonts w:hint="eastAsia" w:ascii="宋体" w:hAnsi="宋体"/>
              <w:bCs/>
              <w:szCs w:val="28"/>
            </w:rPr>
            <w:t>三、股权登记托管机构</w:t>
          </w:r>
          <w:r>
            <w:tab/>
          </w:r>
          <w:r>
            <w:fldChar w:fldCharType="begin"/>
          </w:r>
          <w:r>
            <w:instrText xml:space="preserve"> PAGEREF _Toc28216 \h </w:instrText>
          </w:r>
          <w:r>
            <w:fldChar w:fldCharType="separate"/>
          </w:r>
          <w:r>
            <w:t>18</w:t>
          </w:r>
          <w:r>
            <w:fldChar w:fldCharType="end"/>
          </w:r>
          <w:r>
            <w:fldChar w:fldCharType="end"/>
          </w:r>
        </w:p>
        <w:p>
          <w:r>
            <w:fldChar w:fldCharType="end"/>
          </w:r>
        </w:p>
      </w:sdtContent>
    </w:sdt>
    <w:p/>
    <w:p>
      <w:r>
        <w:br w:type="page"/>
      </w:r>
    </w:p>
    <w:p>
      <w:pPr>
        <w:pStyle w:val="2"/>
        <w:rPr>
          <w:rFonts w:ascii="仿宋" w:hAnsi="仿宋" w:eastAsia="仿宋" w:cs="仿宋"/>
          <w:bCs/>
          <w:szCs w:val="32"/>
        </w:rPr>
      </w:pPr>
      <w:bookmarkStart w:id="0" w:name="_Toc10185"/>
      <w:r>
        <w:rPr>
          <w:rFonts w:hint="eastAsia"/>
        </w:rPr>
        <w:t>第一章  重大风险及重大事项提示</w:t>
      </w:r>
      <w:bookmarkEnd w:id="0"/>
    </w:p>
    <w:p>
      <w:pPr>
        <w:pStyle w:val="3"/>
        <w:bidi w:val="0"/>
        <w:rPr>
          <w:rFonts w:hint="eastAsia"/>
          <w:b w:val="0"/>
          <w:bCs/>
          <w:sz w:val="24"/>
          <w:szCs w:val="22"/>
        </w:rPr>
      </w:pPr>
      <w:bookmarkStart w:id="1" w:name="_Toc4430"/>
      <w:bookmarkStart w:id="2" w:name="_Toc16996"/>
      <w:bookmarkStart w:id="3" w:name="_Toc236113128"/>
      <w:bookmarkStart w:id="4" w:name="_Toc236206525"/>
      <w:bookmarkStart w:id="5" w:name="_Toc245701698"/>
      <w:bookmarkStart w:id="6" w:name="_Toc280345465"/>
      <w:bookmarkStart w:id="7" w:name="_Toc236113885"/>
      <w:r>
        <w:rPr>
          <w:rFonts w:hint="eastAsia"/>
          <w:b w:val="0"/>
          <w:bCs/>
          <w:sz w:val="24"/>
          <w:szCs w:val="22"/>
        </w:rPr>
        <w:t>一、重大风险提示及应对措施</w:t>
      </w:r>
      <w:bookmarkEnd w:id="1"/>
    </w:p>
    <w:p>
      <w:pPr>
        <w:ind w:firstLine="480"/>
        <w:rPr>
          <w:rFonts w:hint="eastAsia"/>
        </w:rPr>
      </w:pPr>
      <w:r>
        <w:rPr>
          <w:rFonts w:hint="eastAsia"/>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p>
    <w:p>
      <w:pPr>
        <w:ind w:firstLine="480"/>
        <w:rPr>
          <w:rFonts w:hint="eastAsia"/>
          <w:b/>
          <w:bCs/>
        </w:rPr>
      </w:pPr>
      <w:r>
        <w:rPr>
          <w:rFonts w:hint="eastAsia"/>
          <w:b/>
          <w:bCs/>
        </w:rPr>
        <w:t>（一）实际控制人不当控制风险</w:t>
      </w:r>
    </w:p>
    <w:p>
      <w:pPr>
        <w:ind w:firstLine="480"/>
        <w:rPr>
          <w:rFonts w:hint="eastAsia"/>
          <w:b/>
          <w:bCs/>
        </w:rPr>
      </w:pPr>
      <w:r>
        <w:rPr>
          <w:rFonts w:hint="eastAsia"/>
          <w:b/>
          <w:bCs/>
        </w:rPr>
        <w:t>公司是自然人独资企业，李鹏直接持有本公司100%的股权，是公司的控股股东及实际控制人。对公司发展战略、经营决策、人事安排、利润分配、关联交易和对外投资等重大事项具有较大的决定权。因此公司正逐步建立并完善法人治理结构，依照规章制度设立监事人员，以此减少实控人行使表决权对公司的经营、人事、财务等进行不当控制而带来的公司经营风险。</w:t>
      </w:r>
    </w:p>
    <w:p>
      <w:pPr>
        <w:ind w:firstLine="480"/>
        <w:rPr>
          <w:rFonts w:hint="eastAsia"/>
          <w:b/>
          <w:bCs/>
        </w:rPr>
      </w:pPr>
      <w:r>
        <w:rPr>
          <w:rFonts w:hint="eastAsia"/>
          <w:b/>
          <w:bCs/>
        </w:rPr>
        <w:t>（二）电子商务冲击的风险</w:t>
      </w:r>
    </w:p>
    <w:p>
      <w:pPr>
        <w:ind w:firstLine="480"/>
        <w:rPr>
          <w:rFonts w:hint="eastAsia"/>
          <w:b/>
          <w:bCs/>
        </w:rPr>
      </w:pPr>
      <w:r>
        <w:rPr>
          <w:rFonts w:hint="eastAsia"/>
          <w:b/>
          <w:bCs/>
        </w:rPr>
        <w:t>传统pos业务的市场风险，主要来自于电子商务对传统零售模式的挑战，商业连锁企业的零售总额虽然保持较高的增长，但在电子商务销售模式的冲击下，线下零售商的扩张受到影响，从而可能导致商业 POS 机行业的增长率下降，对此，公司重视产业政策及最新支付动态的研究，通过充分的市场调研，更新pos产品供应源，始终采购技术前沿最新代pos设备。</w:t>
      </w:r>
    </w:p>
    <w:p>
      <w:pPr>
        <w:ind w:firstLine="480"/>
        <w:rPr>
          <w:rFonts w:hint="eastAsia"/>
          <w:b/>
          <w:bCs/>
        </w:rPr>
      </w:pPr>
      <w:r>
        <w:rPr>
          <w:rFonts w:hint="eastAsia"/>
          <w:b/>
          <w:bCs/>
        </w:rPr>
        <w:t>（三）公司治理风险</w:t>
      </w:r>
    </w:p>
    <w:p>
      <w:pPr>
        <w:ind w:firstLine="480"/>
        <w:rPr>
          <w:rFonts w:hint="eastAsia"/>
          <w:b/>
          <w:bCs/>
        </w:rPr>
      </w:pPr>
      <w:r>
        <w:rPr>
          <w:rFonts w:hint="eastAsia"/>
          <w:b/>
          <w:bCs/>
        </w:rPr>
        <w:t>公司目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对此，公司逐步建立健全了法人治理机构，制定了适应企业现阶段发展的内部控制体系。</w:t>
      </w:r>
    </w:p>
    <w:p>
      <w:pPr>
        <w:ind w:firstLine="480"/>
        <w:rPr>
          <w:rFonts w:hint="eastAsia"/>
          <w:b/>
          <w:bCs/>
        </w:rPr>
      </w:pPr>
      <w:r>
        <w:rPr>
          <w:rFonts w:hint="eastAsia"/>
          <w:b/>
          <w:bCs/>
        </w:rPr>
        <w:t>（四）供应商管理风险</w:t>
      </w:r>
    </w:p>
    <w:p>
      <w:pPr>
        <w:ind w:firstLine="480"/>
        <w:rPr>
          <w:rFonts w:hint="eastAsia"/>
          <w:b/>
          <w:bCs/>
        </w:rPr>
      </w:pPr>
      <w:r>
        <w:rPr>
          <w:rFonts w:hint="eastAsia"/>
          <w:b/>
          <w:bCs/>
        </w:rPr>
        <w:t>公司存在部分自然人供应商和客户。一般情况下，与机构供应商、客户相比较而言，自然人供应商、客户在采购能力、支付能力、经营期限、经营规模和经营拓展能力等方面更容易受到市场优胜劣汰竞争机制和自身经营意愿的影响，从而导致其经营能力具有一定的局限性，如果公司对供应商选择不当、管理不善，有可能出现产品质量不达标或不能准时交货等问题，这将影响公司的信誉，给公司带来一定的风险。</w:t>
      </w:r>
    </w:p>
    <w:p>
      <w:pPr>
        <w:ind w:firstLine="480"/>
        <w:rPr>
          <w:rFonts w:hint="eastAsia"/>
          <w:b/>
          <w:bCs/>
        </w:rPr>
      </w:pPr>
      <w:r>
        <w:rPr>
          <w:rFonts w:hint="eastAsia"/>
          <w:b/>
          <w:bCs/>
        </w:rPr>
        <w:t>为此，公司对上游供应商不断进行筛选，淘汰小批量自然人供应商，保障材料供应基本以机构、客户供应商为主。</w:t>
      </w:r>
    </w:p>
    <w:p>
      <w:pPr>
        <w:ind w:firstLine="480"/>
        <w:rPr>
          <w:rFonts w:hint="eastAsia"/>
          <w:b/>
          <w:bCs/>
        </w:rPr>
      </w:pPr>
      <w:r>
        <w:rPr>
          <w:rFonts w:hint="eastAsia"/>
          <w:b/>
          <w:bCs/>
        </w:rPr>
        <w:t xml:space="preserve">（五）内部管理风险 </w:t>
      </w:r>
    </w:p>
    <w:p>
      <w:pPr>
        <w:ind w:firstLine="480"/>
        <w:rPr>
          <w:b/>
          <w:bCs/>
        </w:rPr>
      </w:pPr>
      <w:r>
        <w:rPr>
          <w:rFonts w:hint="eastAsia"/>
          <w:b/>
          <w:bCs/>
        </w:rPr>
        <w:t>公司成立后，建立健全了法人治理结构，完善了现代化企业发展的内部控制体系，并陆续推出各项内部控制制度及相关细则。但是，由于部分管理制度的执行尚未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bookmarkEnd w:id="2"/>
    <w:bookmarkEnd w:id="3"/>
    <w:bookmarkEnd w:id="4"/>
    <w:bookmarkEnd w:id="5"/>
    <w:bookmarkEnd w:id="6"/>
    <w:bookmarkEnd w:id="7"/>
    <w:p>
      <w:pPr>
        <w:pStyle w:val="3"/>
        <w:ind w:left="480"/>
        <w:rPr>
          <w:rFonts w:ascii="仿宋" w:hAnsi="仿宋" w:eastAsia="仿宋" w:cs="仿宋"/>
        </w:rPr>
      </w:pPr>
      <w:bookmarkStart w:id="8" w:name="_Toc10176"/>
      <w:bookmarkStart w:id="9" w:name="_Toc5420"/>
      <w:bookmarkStart w:id="10" w:name="_Toc25004"/>
      <w:bookmarkStart w:id="11" w:name="_Toc23392_WPSOffice_Level2"/>
      <w:bookmarkStart w:id="12" w:name="_Toc1711"/>
      <w:r>
        <w:rPr>
          <w:rFonts w:hint="eastAsia"/>
        </w:rPr>
        <w:t>二、重大事项提示</w:t>
      </w:r>
      <w:bookmarkEnd w:id="8"/>
      <w:bookmarkEnd w:id="9"/>
      <w:bookmarkEnd w:id="10"/>
      <w:bookmarkEnd w:id="11"/>
      <w:bookmarkEnd w:id="12"/>
    </w:p>
    <w:p>
      <w:pPr>
        <w:ind w:firstLine="480" w:firstLineChars="200"/>
        <w:outlineLvl w:val="2"/>
        <w:rPr>
          <w:rStyle w:val="20"/>
          <w:b w:val="0"/>
          <w:bCs w:val="0"/>
          <w:sz w:val="24"/>
          <w:szCs w:val="20"/>
        </w:rPr>
      </w:pPr>
      <w:r>
        <w:rPr>
          <w:rStyle w:val="20"/>
          <w:b w:val="0"/>
          <w:bCs w:val="0"/>
          <w:sz w:val="24"/>
          <w:szCs w:val="20"/>
        </w:rPr>
        <w:t>（一）股东关于自愿锁定股权的承诺</w:t>
      </w:r>
    </w:p>
    <w:p>
      <w:pPr>
        <w:ind w:firstLine="480" w:firstLineChars="200"/>
      </w:pPr>
      <w:r>
        <w:rPr>
          <w:rFonts w:hint="eastAsia"/>
        </w:rPr>
        <w:t>公司股东李鹏承诺：“自</w:t>
      </w:r>
      <w:r>
        <w:rPr>
          <w:rFonts w:hint="eastAsia"/>
          <w:lang w:eastAsia="zh-CN"/>
        </w:rPr>
        <w:t>淄博曼城电子商务有限公司</w:t>
      </w:r>
      <w:r>
        <w:rPr>
          <w:rFonts w:hint="eastAsia"/>
        </w:rPr>
        <w:t xml:space="preserve">挂牌成功之日起十二个月内，不转让或者委托他人管理其持有的公司股份，也不由公司收购该部分股份。” </w:t>
      </w:r>
    </w:p>
    <w:p>
      <w:pPr>
        <w:ind w:firstLine="480" w:firstLineChars="200"/>
        <w:outlineLvl w:val="2"/>
        <w:rPr>
          <w:rStyle w:val="20"/>
          <w:b w:val="0"/>
          <w:bCs w:val="0"/>
          <w:sz w:val="24"/>
          <w:szCs w:val="24"/>
        </w:rPr>
      </w:pPr>
      <w:r>
        <w:rPr>
          <w:rStyle w:val="20"/>
          <w:rFonts w:hint="eastAsia"/>
          <w:b w:val="0"/>
          <w:bCs w:val="0"/>
          <w:sz w:val="24"/>
          <w:szCs w:val="24"/>
        </w:rPr>
        <w:t>（二）股利分配政策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 xml:space="preserve">根据《公司法》等法律法规，公司股权挂牌后适用的《公司章程》，此次股权挂牌后，公司的股利分配政策如下：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1、决策机制与程序：公司的利润分配政策和具体股利分配方案需经公司股东会研讨后由公司执行董事审核批准；执行董事在制订利润分配政策、股利分配方案时应充分考虑股东、监事和公司管理层的意见。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2、利润的分配形式：公司可采取现金、股份或者现金股份相结合的方式分配股利。公司将优先考虑采取现金方式分配股利；若公司增长快速，在考虑实际经营情况的基础上，可采取股份或者现金股份相结合的方式分配股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3、公司根据外部经营环境或者自身经营状况对利润分配政策进行调整的，调整后的利润分配政策不得违反齐鲁股权交易中心有关规定，有关调整利润分配政策的议案需经公司股东研讨后由公司执行董事审核批准。</w:t>
      </w:r>
    </w:p>
    <w:p>
      <w:pPr>
        <w:pStyle w:val="2"/>
      </w:pPr>
      <w:bookmarkStart w:id="13" w:name="_Toc31512"/>
      <w:r>
        <w:rPr>
          <w:rFonts w:hint="eastAsia"/>
        </w:rPr>
        <w:t>第二章  公司基本情况</w:t>
      </w:r>
      <w:bookmarkEnd w:id="13"/>
    </w:p>
    <w:p>
      <w:pPr>
        <w:pStyle w:val="3"/>
        <w:ind w:left="480"/>
      </w:pPr>
      <w:bookmarkStart w:id="14" w:name="_Toc19954"/>
      <w:r>
        <w:rPr>
          <w:rFonts w:hint="eastAsia"/>
        </w:rPr>
        <w:t>一、挂牌公司基本情况</w:t>
      </w:r>
      <w:bookmarkEnd w:id="14"/>
    </w:p>
    <w:p>
      <w:pPr>
        <w:ind w:firstLine="480"/>
        <w:rPr>
          <w:rFonts w:hint="eastAsia" w:ascii="宋体" w:hAnsi="宋体" w:eastAsia="宋体"/>
          <w:lang w:eastAsia="zh-CN"/>
        </w:rPr>
      </w:pPr>
      <w:r>
        <w:rPr>
          <w:rFonts w:hint="eastAsia" w:ascii="宋体" w:hAnsi="宋体"/>
        </w:rPr>
        <w:t>公司名称：</w:t>
      </w:r>
      <w:r>
        <w:rPr>
          <w:rFonts w:hint="eastAsia" w:ascii="宋体" w:hAnsi="宋体"/>
          <w:lang w:eastAsia="zh-CN"/>
        </w:rPr>
        <w:t>淄博曼城电子商务有限公司</w:t>
      </w:r>
    </w:p>
    <w:p>
      <w:pPr>
        <w:ind w:firstLine="480"/>
        <w:rPr>
          <w:rFonts w:hint="eastAsia" w:ascii="宋体" w:hAnsi="宋体"/>
          <w:highlight w:val="none"/>
        </w:rPr>
      </w:pPr>
      <w:r>
        <w:rPr>
          <w:rFonts w:hint="eastAsia" w:ascii="宋体" w:hAnsi="宋体"/>
        </w:rPr>
        <w:t xml:space="preserve">注册资本： </w:t>
      </w:r>
      <w:r>
        <w:rPr>
          <w:rFonts w:hint="eastAsia" w:ascii="宋体" w:hAnsi="宋体"/>
          <w:highlight w:val="none"/>
          <w:lang w:val="en-US" w:eastAsia="zh-CN"/>
        </w:rPr>
        <w:t>300</w:t>
      </w:r>
      <w:r>
        <w:rPr>
          <w:rFonts w:hint="eastAsia" w:ascii="宋体" w:hAnsi="宋体"/>
          <w:highlight w:val="none"/>
        </w:rPr>
        <w:t>万元人民币</w:t>
      </w:r>
    </w:p>
    <w:p>
      <w:pPr>
        <w:ind w:firstLine="480"/>
        <w:rPr>
          <w:rFonts w:hint="eastAsia" w:ascii="宋体" w:hAnsi="宋体"/>
        </w:rPr>
      </w:pPr>
      <w:r>
        <w:rPr>
          <w:rFonts w:hint="eastAsia" w:ascii="宋体" w:hAnsi="宋体"/>
          <w:highlight w:val="none"/>
        </w:rPr>
        <w:t xml:space="preserve">实收资本： </w:t>
      </w:r>
      <w:r>
        <w:rPr>
          <w:rFonts w:hint="eastAsia" w:ascii="宋体" w:hAnsi="宋体"/>
          <w:highlight w:val="none"/>
          <w:lang w:val="en-US" w:eastAsia="zh-CN"/>
        </w:rPr>
        <w:t>30</w:t>
      </w:r>
      <w:r>
        <w:rPr>
          <w:rFonts w:hint="eastAsia" w:ascii="宋体" w:hAnsi="宋体"/>
        </w:rPr>
        <w:t>万元人民币</w:t>
      </w:r>
    </w:p>
    <w:p>
      <w:pPr>
        <w:tabs>
          <w:tab w:val="left" w:pos="6379"/>
        </w:tabs>
        <w:ind w:firstLine="480"/>
        <w:rPr>
          <w:rFonts w:hint="eastAsia" w:ascii="宋体" w:hAnsi="宋体" w:eastAsia="宋体"/>
          <w:lang w:eastAsia="zh-CN"/>
        </w:rPr>
      </w:pPr>
      <w:r>
        <w:rPr>
          <w:rFonts w:hint="eastAsia" w:ascii="宋体" w:hAnsi="宋体"/>
        </w:rPr>
        <w:t>法定代表人：</w:t>
      </w:r>
      <w:r>
        <w:rPr>
          <w:rFonts w:hint="eastAsia" w:ascii="宋体" w:hAnsi="宋体"/>
          <w:lang w:val="en-US" w:eastAsia="zh-CN"/>
        </w:rPr>
        <w:t>李鹏</w:t>
      </w:r>
    </w:p>
    <w:p>
      <w:pPr>
        <w:ind w:firstLine="480"/>
        <w:rPr>
          <w:rFonts w:ascii="宋体" w:hAnsi="宋体"/>
        </w:rPr>
      </w:pPr>
      <w:r>
        <w:rPr>
          <w:rFonts w:hint="eastAsia" w:ascii="宋体" w:hAnsi="宋体"/>
        </w:rPr>
        <w:t>统一社会信用代码：91370303MA3EQYR01W</w:t>
      </w:r>
    </w:p>
    <w:p>
      <w:pPr>
        <w:ind w:firstLine="480"/>
        <w:rPr>
          <w:rFonts w:hint="default" w:ascii="宋体" w:hAnsi="宋体" w:eastAsia="宋体"/>
          <w:lang w:val="en-US" w:eastAsia="zh-CN"/>
        </w:rPr>
      </w:pPr>
      <w:r>
        <w:rPr>
          <w:rFonts w:hint="eastAsia" w:ascii="宋体" w:hAnsi="宋体"/>
        </w:rPr>
        <w:t>成立日期：</w:t>
      </w:r>
      <w:r>
        <w:rPr>
          <w:rFonts w:hint="eastAsia" w:ascii="宋体" w:hAnsi="宋体"/>
          <w:lang w:val="en-US" w:eastAsia="zh-CN"/>
        </w:rPr>
        <w:t>2017-10-31</w:t>
      </w:r>
    </w:p>
    <w:p>
      <w:pPr>
        <w:ind w:firstLine="480"/>
        <w:rPr>
          <w:rFonts w:ascii="宋体" w:hAnsi="宋体"/>
        </w:rPr>
      </w:pPr>
      <w:r>
        <w:rPr>
          <w:rFonts w:hint="eastAsia" w:ascii="宋体" w:hAnsi="宋体"/>
        </w:rPr>
        <w:t xml:space="preserve">住所：山东省淄博市高新区柳泉路139号金融科技中心B座1001-04 </w:t>
      </w:r>
    </w:p>
    <w:p>
      <w:pPr>
        <w:ind w:firstLine="480"/>
        <w:rPr>
          <w:rFonts w:ascii="宋体" w:hAnsi="宋体"/>
        </w:rPr>
      </w:pPr>
      <w:r>
        <w:rPr>
          <w:rFonts w:hint="eastAsia" w:ascii="宋体" w:hAnsi="宋体"/>
        </w:rPr>
        <w:t>经营范围</w:t>
      </w:r>
      <w:bookmarkStart w:id="15" w:name="_Hlk22721649"/>
      <w:r>
        <w:rPr>
          <w:rFonts w:hint="eastAsia" w:ascii="宋体" w:hAnsi="宋体"/>
        </w:rPr>
        <w:t>：</w:t>
      </w:r>
      <w:bookmarkEnd w:id="15"/>
      <w:r>
        <w:rPr>
          <w:rFonts w:hint="eastAsia" w:ascii="宋体" w:hAnsi="宋体"/>
        </w:rPr>
        <w:t>网上贸易代理；商务信息咨询；企业管理咨询服务；POS机、办公用品、装饰材料、电子产品、初级农产品、计算机软硬件及辅助设备、建筑材料、办公用品、工艺品销售；室内外装饰装修工程设计、施工；组织文化艺术交流活动；广告设计、代理、发布；视频制作；计算机科技、网络科技领域内的技术开发、技术转让、技术咨询、技术服务；动漫制作；软件开发；网络咨询服务。（依法须经批准的项目，经相关部门批准后方可开展经营活动）。</w:t>
      </w:r>
    </w:p>
    <w:p>
      <w:pPr>
        <w:ind w:firstLine="480"/>
        <w:rPr>
          <w:rFonts w:hint="default" w:ascii="宋体" w:hAnsi="宋体" w:eastAsia="宋体"/>
          <w:lang w:val="en-US" w:eastAsia="zh-CN"/>
        </w:rPr>
      </w:pPr>
      <w:r>
        <w:rPr>
          <w:rFonts w:hint="eastAsia" w:ascii="宋体" w:hAnsi="宋体"/>
        </w:rPr>
        <w:t>主要产品：</w:t>
      </w:r>
      <w:r>
        <w:rPr>
          <w:rFonts w:hint="eastAsia" w:ascii="宋体" w:hAnsi="宋体"/>
          <w:lang w:val="en-US" w:eastAsia="zh-CN"/>
        </w:rPr>
        <w:t>电子零配件、零售交易终端设备（pos机）等电子产品</w:t>
      </w:r>
    </w:p>
    <w:p>
      <w:pPr>
        <w:ind w:firstLine="480"/>
        <w:rPr>
          <w:rFonts w:ascii="宋体" w:hAnsi="宋体"/>
        </w:rPr>
      </w:pPr>
      <w:r>
        <w:rPr>
          <w:rFonts w:hint="eastAsia" w:ascii="宋体" w:hAnsi="宋体"/>
        </w:rPr>
        <w:t>邮政编码：255000</w:t>
      </w:r>
    </w:p>
    <w:p>
      <w:pPr>
        <w:ind w:firstLine="480"/>
        <w:rPr>
          <w:rFonts w:ascii="宋体" w:hAnsi="宋体"/>
        </w:rPr>
      </w:pPr>
      <w:r>
        <w:rPr>
          <w:rFonts w:hint="eastAsia" w:ascii="宋体" w:hAnsi="宋体"/>
        </w:rPr>
        <w:t>电子邮箱：18953353335@163.com</w:t>
      </w:r>
    </w:p>
    <w:p>
      <w:pPr>
        <w:ind w:firstLine="480"/>
        <w:rPr>
          <w:rFonts w:hint="default" w:ascii="宋体" w:hAnsi="宋体" w:eastAsia="宋体"/>
          <w:lang w:val="en-US" w:eastAsia="zh-CN"/>
        </w:rPr>
      </w:pPr>
      <w:r>
        <w:rPr>
          <w:rFonts w:hint="eastAsia" w:ascii="宋体" w:hAnsi="宋体"/>
        </w:rPr>
        <w:t>电话：18678222283</w:t>
      </w:r>
    </w:p>
    <w:p>
      <w:pPr>
        <w:ind w:firstLine="480"/>
        <w:rPr>
          <w:rFonts w:ascii="宋体" w:hAnsi="宋体"/>
        </w:rPr>
      </w:pPr>
      <w:r>
        <w:rPr>
          <w:rFonts w:hint="eastAsia" w:ascii="宋体" w:hAnsi="宋体"/>
        </w:rPr>
        <w:t>传真：无</w:t>
      </w:r>
    </w:p>
    <w:p>
      <w:pPr>
        <w:ind w:firstLine="480"/>
        <w:rPr>
          <w:rFonts w:hint="default" w:ascii="宋体" w:hAnsi="宋体" w:eastAsia="宋体"/>
          <w:lang w:val="en-US" w:eastAsia="zh-CN"/>
        </w:rPr>
      </w:pPr>
      <w:r>
        <w:rPr>
          <w:rFonts w:hint="eastAsia" w:ascii="宋体" w:hAnsi="宋体"/>
        </w:rPr>
        <w:t>信息披露事务负责人：</w:t>
      </w:r>
      <w:r>
        <w:rPr>
          <w:rFonts w:hint="eastAsia" w:ascii="宋体" w:hAnsi="宋体"/>
          <w:lang w:eastAsia="zh-CN"/>
        </w:rPr>
        <w:t>刘持煊</w:t>
      </w:r>
    </w:p>
    <w:p>
      <w:pPr>
        <w:ind w:firstLine="480"/>
        <w:rPr>
          <w:rFonts w:ascii="宋体" w:hAnsi="宋体"/>
        </w:rPr>
      </w:pPr>
      <w:r>
        <w:rPr>
          <w:rFonts w:hint="eastAsia" w:ascii="宋体" w:hAnsi="宋体"/>
          <w:lang w:val="en-US" w:eastAsia="zh-CN"/>
        </w:rPr>
        <w:t>淄博曼城电子商务有限公司成立于2017年10月，位于淄博市高新区柳泉路139号金融科技中心B座1001-04，是一家集网上贸易代理、商务咨询、企业管理咨询及电子零配件、零售交易终端设备（pos机）等电子产品批发零售的综合类公司。曼城电子以“诚信经营、客户至上”为企业宗旨，以“自强不息，厚德载物”为企业文化理念，愿以高质量的产品，合理的价格，热情的服务与广大新老客户真诚合作，和谐共赢，共谋发展</w:t>
      </w:r>
      <w:r>
        <w:rPr>
          <w:rFonts w:hint="eastAsia" w:ascii="宋体" w:hAnsi="宋体"/>
          <w:lang w:eastAsia="zh-CN"/>
        </w:rPr>
        <w:t>。</w:t>
      </w:r>
    </w:p>
    <w:p>
      <w:pPr>
        <w:pStyle w:val="3"/>
        <w:ind w:left="480"/>
        <w:rPr>
          <w:rFonts w:ascii="仿宋" w:hAnsi="仿宋" w:eastAsia="仿宋" w:cs="仿宋"/>
          <w:szCs w:val="32"/>
        </w:rPr>
      </w:pPr>
      <w:bookmarkStart w:id="16" w:name="_Toc31727"/>
      <w:r>
        <w:rPr>
          <w:rFonts w:hint="eastAsia"/>
        </w:rPr>
        <w:t>二、公司目前股权结构及股东情况</w:t>
      </w:r>
      <w:bookmarkEnd w:id="16"/>
    </w:p>
    <w:p>
      <w:pPr>
        <w:ind w:firstLine="480" w:firstLineChars="200"/>
      </w:pPr>
      <w:bookmarkStart w:id="17" w:name="_Toc228505923"/>
      <w:bookmarkStart w:id="18" w:name="_Toc228433056"/>
      <w:bookmarkStart w:id="19" w:name="_Toc229469622"/>
      <w:bookmarkStart w:id="20" w:name="_Toc228431325"/>
      <w:bookmarkStart w:id="21" w:name="_Toc27074"/>
      <w:r>
        <w:rPr>
          <w:rFonts w:hint="eastAsia"/>
        </w:rPr>
        <w:t>（一）股权结构</w:t>
      </w:r>
      <w:bookmarkEnd w:id="17"/>
      <w:bookmarkEnd w:id="18"/>
      <w:bookmarkEnd w:id="19"/>
      <w:bookmarkEnd w:id="20"/>
      <w:r>
        <w:rPr>
          <w:rFonts w:hint="eastAsia"/>
        </w:rPr>
        <w:t>图</w:t>
      </w:r>
      <w:bookmarkStart w:id="22" w:name="_Toc236206515"/>
      <w:bookmarkStart w:id="23" w:name="_Toc236113118"/>
      <w:bookmarkStart w:id="24" w:name="_Toc236113875"/>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082"/>
        <w:gridCol w:w="2386"/>
        <w:gridCol w:w="1129"/>
        <w:gridCol w:w="854"/>
        <w:gridCol w:w="97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top w:val="double" w:color="auto" w:sz="4" w:space="0"/>
              <w:left w:val="double" w:color="auto" w:sz="4" w:space="0"/>
              <w:right w:val="single" w:color="auto" w:sz="4" w:space="0"/>
            </w:tcBorders>
            <w:vAlign w:val="center"/>
          </w:tcPr>
          <w:p>
            <w:pPr>
              <w:jc w:val="center"/>
              <w:rPr>
                <w:rFonts w:ascii="宋体" w:hAnsi="宋体"/>
              </w:rPr>
            </w:pPr>
            <w:r>
              <w:rPr>
                <w:rFonts w:hint="eastAsia" w:ascii="宋体" w:hAnsi="宋体"/>
              </w:rPr>
              <w:t>序号</w:t>
            </w:r>
          </w:p>
        </w:tc>
        <w:tc>
          <w:tcPr>
            <w:tcW w:w="634"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股东名称</w:t>
            </w:r>
          </w:p>
        </w:tc>
        <w:tc>
          <w:tcPr>
            <w:tcW w:w="1399"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662"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认缴出资额</w:t>
            </w:r>
            <w:r>
              <w:rPr>
                <w:rFonts w:hint="eastAsia" w:ascii="宋体" w:hAnsi="宋体"/>
                <w:lang w:val="en-US" w:eastAsia="zh-CN"/>
              </w:rPr>
              <w:t xml:space="preserve">  </w:t>
            </w:r>
            <w:r>
              <w:rPr>
                <w:rFonts w:hint="eastAsia" w:ascii="宋体" w:hAnsi="宋体"/>
              </w:rPr>
              <w:t>（万元）</w:t>
            </w:r>
          </w:p>
        </w:tc>
        <w:tc>
          <w:tcPr>
            <w:tcW w:w="501"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出资比例</w:t>
            </w:r>
          </w:p>
        </w:tc>
        <w:tc>
          <w:tcPr>
            <w:tcW w:w="570"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出资方式</w:t>
            </w:r>
          </w:p>
        </w:tc>
        <w:tc>
          <w:tcPr>
            <w:tcW w:w="983" w:type="pct"/>
            <w:tcBorders>
              <w:top w:val="double" w:color="auto" w:sz="4" w:space="0"/>
              <w:left w:val="single" w:color="auto" w:sz="4" w:space="0"/>
              <w:right w:val="double" w:color="auto" w:sz="4" w:space="0"/>
            </w:tcBorders>
            <w:vAlign w:val="center"/>
          </w:tcPr>
          <w:p>
            <w:pPr>
              <w:jc w:val="center"/>
              <w:rPr>
                <w:rFonts w:ascii="宋体" w:hAnsi="宋体"/>
              </w:rPr>
            </w:pPr>
            <w:r>
              <w:rPr>
                <w:rFonts w:hint="eastAsia" w:ascii="宋体" w:hAnsi="宋体"/>
              </w:rPr>
              <w:t>认缴出资日期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left w:val="doub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1</w:t>
            </w:r>
          </w:p>
        </w:tc>
        <w:tc>
          <w:tcPr>
            <w:tcW w:w="634" w:type="pct"/>
            <w:tcBorders>
              <w:left w:val="single" w:color="auto" w:sz="4" w:space="0"/>
              <w:right w:val="single" w:color="auto" w:sz="4" w:space="0"/>
            </w:tcBorders>
            <w:vAlign w:val="center"/>
          </w:tcPr>
          <w:p>
            <w:pPr>
              <w:jc w:val="center"/>
              <w:rPr>
                <w:rFonts w:hint="eastAsia" w:ascii="宋体" w:hAnsi="宋体" w:eastAsia="宋体"/>
                <w:highlight w:val="none"/>
                <w:lang w:eastAsia="zh-CN"/>
              </w:rPr>
            </w:pPr>
            <w:r>
              <w:rPr>
                <w:rFonts w:hint="eastAsia" w:ascii="宋体" w:hAnsi="宋体"/>
                <w:highlight w:val="none"/>
                <w:lang w:val="en-US" w:eastAsia="zh-CN"/>
              </w:rPr>
              <w:t>李鹏</w:t>
            </w:r>
          </w:p>
        </w:tc>
        <w:tc>
          <w:tcPr>
            <w:tcW w:w="1399" w:type="pct"/>
            <w:tcBorders>
              <w:left w:val="single" w:color="auto" w:sz="4" w:space="0"/>
              <w:right w:val="single" w:color="auto" w:sz="4" w:space="0"/>
            </w:tcBorders>
            <w:vAlign w:val="center"/>
          </w:tcPr>
          <w:p>
            <w:pPr>
              <w:jc w:val="center"/>
              <w:rPr>
                <w:rFonts w:hint="default" w:ascii="宋体" w:hAnsi="宋体" w:eastAsia="宋体" w:cs="Times New Roman"/>
                <w:kern w:val="2"/>
                <w:sz w:val="24"/>
                <w:szCs w:val="24"/>
                <w:highlight w:val="none"/>
                <w:lang w:val="en-US" w:eastAsia="zh-CN" w:bidi="ar-SA"/>
              </w:rPr>
            </w:pPr>
            <w:r>
              <w:rPr>
                <w:rFonts w:hint="eastAsia" w:ascii="宋体" w:hAnsi="宋体"/>
                <w:highlight w:val="none"/>
                <w:lang w:val="en-US" w:eastAsia="zh-CN"/>
              </w:rPr>
              <w:t>370982199106225290</w:t>
            </w:r>
          </w:p>
        </w:tc>
        <w:tc>
          <w:tcPr>
            <w:tcW w:w="662"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300</w:t>
            </w:r>
          </w:p>
        </w:tc>
        <w:tc>
          <w:tcPr>
            <w:tcW w:w="501"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100%</w:t>
            </w:r>
          </w:p>
        </w:tc>
        <w:tc>
          <w:tcPr>
            <w:tcW w:w="570"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货币</w:t>
            </w:r>
          </w:p>
        </w:tc>
        <w:tc>
          <w:tcPr>
            <w:tcW w:w="983" w:type="pct"/>
            <w:tcBorders>
              <w:left w:val="single" w:color="auto" w:sz="4" w:space="0"/>
              <w:right w:val="doub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2047-12-31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gridSpan w:val="2"/>
            <w:tcBorders>
              <w:left w:val="doub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合计</w:t>
            </w:r>
          </w:p>
        </w:tc>
        <w:tc>
          <w:tcPr>
            <w:tcW w:w="1399" w:type="pct"/>
            <w:tcBorders>
              <w:left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662"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300</w:t>
            </w:r>
          </w:p>
        </w:tc>
        <w:tc>
          <w:tcPr>
            <w:tcW w:w="501" w:type="pct"/>
            <w:tcBorders>
              <w:left w:val="single" w:color="auto" w:sz="4" w:space="0"/>
              <w:right w:val="single" w:color="auto" w:sz="4" w:space="0"/>
            </w:tcBorders>
            <w:vAlign w:val="center"/>
          </w:tcPr>
          <w:p>
            <w:pPr>
              <w:jc w:val="center"/>
              <w:rPr>
                <w:rFonts w:hint="eastAsia" w:ascii="宋体" w:hAnsi="宋体" w:eastAsia="宋体"/>
                <w:highlight w:val="none"/>
                <w:lang w:val="en-US" w:eastAsia="zh-CN"/>
              </w:rPr>
            </w:pPr>
            <w:r>
              <w:rPr>
                <w:rFonts w:hint="eastAsia" w:ascii="宋体" w:hAnsi="宋体"/>
                <w:highlight w:val="none"/>
              </w:rPr>
              <w:t>100</w:t>
            </w:r>
            <w:r>
              <w:rPr>
                <w:rFonts w:hint="eastAsia" w:ascii="宋体" w:hAnsi="宋体"/>
                <w:highlight w:val="none"/>
                <w:lang w:val="en-US" w:eastAsia="zh-CN"/>
              </w:rPr>
              <w:t>%</w:t>
            </w:r>
          </w:p>
        </w:tc>
        <w:tc>
          <w:tcPr>
            <w:tcW w:w="570" w:type="pct"/>
            <w:tcBorders>
              <w:left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983" w:type="pct"/>
            <w:tcBorders>
              <w:left w:val="single" w:color="auto" w:sz="4" w:space="0"/>
              <w:right w:val="double" w:color="auto" w:sz="4" w:space="0"/>
            </w:tcBorders>
            <w:vAlign w:val="center"/>
          </w:tcPr>
          <w:p>
            <w:pPr>
              <w:jc w:val="center"/>
              <w:rPr>
                <w:rFonts w:ascii="宋体" w:hAnsi="宋体"/>
                <w:highlight w:val="none"/>
              </w:rPr>
            </w:pPr>
            <w:r>
              <w:rPr>
                <w:rFonts w:hint="eastAsia" w:ascii="宋体" w:hAnsi="宋体"/>
                <w:highlight w:val="none"/>
              </w:rPr>
              <w:t>-</w:t>
            </w:r>
          </w:p>
        </w:tc>
      </w:tr>
    </w:tbl>
    <w:p>
      <w:pPr>
        <w:jc w:val="center"/>
        <w:rPr>
          <w:rFonts w:hint="eastAsia" w:ascii="宋体" w:hAnsi="宋体" w:eastAsia="宋体"/>
          <w:highlight w:val="yellow"/>
          <w:lang w:eastAsia="zh-CN"/>
        </w:rPr>
      </w:pPr>
      <w:r>
        <w:drawing>
          <wp:inline distT="0" distB="0" distL="114300" distR="114300">
            <wp:extent cx="4554220" cy="2821305"/>
            <wp:effectExtent l="4445" t="4445" r="7620" b="1333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80"/>
        <w:rPr>
          <w:rFonts w:hint="eastAsia" w:ascii="宋体" w:hAnsi="宋体"/>
        </w:rPr>
      </w:pPr>
      <w:r>
        <w:rPr>
          <w:rFonts w:hint="eastAsia" w:ascii="宋体" w:hAnsi="宋体"/>
        </w:rPr>
        <w:t>公司股东为于中国境内拥有住所的自然人，具有完全民事权利能力和完全民事行为能力，共计持有公司100%的股权，符合《公司法》、《中华人民共和国公司登记管理条例》等法律、行政法规和规范性文件规定的担任股东的资格。</w:t>
      </w:r>
    </w:p>
    <w:p>
      <w:pPr>
        <w:numPr>
          <w:ilvl w:val="0"/>
          <w:numId w:val="1"/>
        </w:numPr>
        <w:ind w:firstLine="480"/>
        <w:rPr>
          <w:rFonts w:ascii="宋体" w:hAnsi="宋体"/>
        </w:rPr>
      </w:pPr>
      <w:r>
        <w:rPr>
          <w:rFonts w:hint="eastAsia" w:ascii="宋体" w:hAnsi="宋体"/>
        </w:rPr>
        <w:t>公司控股股东、实际控制人情况</w:t>
      </w:r>
    </w:p>
    <w:p>
      <w:pPr>
        <w:ind w:firstLine="480"/>
        <w:rPr>
          <w:rFonts w:ascii="宋体" w:hAnsi="宋体"/>
          <w:kern w:val="0"/>
          <w:highlight w:val="none"/>
        </w:rPr>
      </w:pPr>
      <w:bookmarkStart w:id="25" w:name="_Hlk31887051"/>
      <w:bookmarkStart w:id="26" w:name="_Toc13055"/>
      <w:bookmarkStart w:id="27" w:name="_Toc19383"/>
      <w:bookmarkStart w:id="28" w:name="_Toc27351"/>
      <w:r>
        <w:rPr>
          <w:rFonts w:hint="eastAsia" w:ascii="宋体" w:hAnsi="宋体"/>
          <w:kern w:val="0"/>
          <w:highlight w:val="none"/>
        </w:rPr>
        <w:t>根据公司的工商登记材料，</w:t>
      </w:r>
      <w:r>
        <w:rPr>
          <w:rFonts w:hint="eastAsia" w:ascii="宋体" w:hAnsi="宋体"/>
          <w:kern w:val="0"/>
          <w:highlight w:val="none"/>
          <w:lang w:val="en-US" w:eastAsia="zh-CN"/>
        </w:rPr>
        <w:t>公司为独资企业，</w:t>
      </w:r>
      <w:r>
        <w:rPr>
          <w:rFonts w:hint="eastAsia" w:ascii="宋体" w:hAnsi="宋体"/>
          <w:kern w:val="0"/>
          <w:highlight w:val="none"/>
        </w:rPr>
        <w:t>公司股东李鹏持有公司100%的股权，拥有公司的</w:t>
      </w:r>
      <w:r>
        <w:rPr>
          <w:rFonts w:hint="eastAsia" w:ascii="宋体" w:hAnsi="宋体"/>
          <w:kern w:val="0"/>
          <w:highlight w:val="none"/>
          <w:lang w:val="en-US" w:eastAsia="zh-CN"/>
        </w:rPr>
        <w:t>绝对</w:t>
      </w:r>
      <w:r>
        <w:rPr>
          <w:rFonts w:hint="eastAsia" w:ascii="宋体" w:hAnsi="宋体"/>
          <w:kern w:val="0"/>
          <w:highlight w:val="none"/>
        </w:rPr>
        <w:t>控股权，目前李鹏担任公司法定代表人、执行董事兼总经理，为公司的领导核心，其对公司的日常经营管理处于核心地位，对公司的发展战略等重大决策事项具有决定性影响力，所以本推荐机构认定李鹏为公司的控股股东、实际控制人。</w:t>
      </w:r>
    </w:p>
    <w:bookmarkEnd w:id="25"/>
    <w:p>
      <w:pPr>
        <w:ind w:firstLine="480" w:firstLineChars="200"/>
      </w:pPr>
      <w:r>
        <w:rPr>
          <w:rFonts w:hint="eastAsia"/>
          <w:highlight w:val="none"/>
          <w:lang w:eastAsia="zh-CN"/>
        </w:rPr>
        <w:t>李鹏，男，30岁，汉族，中华人民共和国国籍，无境外永久居留权，毕业于山东理工大学，本科学历，工商管理学专业，2014年-2016年9月就职于淄博福润置业有限公司，担任业务部驻外人员；2016年10月-2017年8月就职于淄博博开创业投资有限公司，担任业务部经理助理；2017年10月成立淄博曼城电子商务有限公司，截至至今，担任淄博曼城电子商务有限公司法定代表人、执行董事兼总经理</w:t>
      </w:r>
      <w:r>
        <w:rPr>
          <w:rFonts w:hint="eastAsia"/>
        </w:rPr>
        <w:t>。</w:t>
      </w:r>
      <w:bookmarkEnd w:id="26"/>
      <w:bookmarkEnd w:id="27"/>
      <w:bookmarkEnd w:id="28"/>
    </w:p>
    <w:bookmarkEnd w:id="21"/>
    <w:bookmarkEnd w:id="22"/>
    <w:bookmarkEnd w:id="23"/>
    <w:bookmarkEnd w:id="24"/>
    <w:p>
      <w:pPr>
        <w:pStyle w:val="3"/>
        <w:ind w:left="480"/>
      </w:pPr>
      <w:bookmarkStart w:id="29" w:name="_Toc5830"/>
      <w:r>
        <w:rPr>
          <w:rFonts w:hint="eastAsia"/>
        </w:rPr>
        <w:t>三、公司组织结构</w:t>
      </w:r>
      <w:bookmarkEnd w:id="29"/>
    </w:p>
    <w:p>
      <w:pPr>
        <w:rPr>
          <w:rFonts w:ascii="宋体" w:hAnsi="宋体" w:cs="宋体"/>
          <w:kern w:val="0"/>
          <w:lang w:bidi="ar"/>
        </w:rPr>
      </w:pPr>
      <w:r>
        <w:drawing>
          <wp:inline distT="0" distB="0" distL="114300" distR="114300">
            <wp:extent cx="5269865" cy="2743200"/>
            <wp:effectExtent l="0" t="0" r="889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5269865" cy="2743200"/>
                    </a:xfrm>
                    <a:prstGeom prst="rect">
                      <a:avLst/>
                    </a:prstGeom>
                    <a:noFill/>
                    <a:ln>
                      <a:noFill/>
                    </a:ln>
                  </pic:spPr>
                </pic:pic>
              </a:graphicData>
            </a:graphic>
          </wp:inline>
        </w:drawing>
      </w:r>
    </w:p>
    <w:p>
      <w:pPr>
        <w:pStyle w:val="3"/>
        <w:ind w:left="480"/>
        <w:rPr>
          <w:rFonts w:ascii="仿宋" w:hAnsi="仿宋" w:eastAsia="仿宋" w:cs="仿宋"/>
          <w:szCs w:val="32"/>
        </w:rPr>
      </w:pPr>
      <w:bookmarkStart w:id="30" w:name="_Toc20105"/>
      <w:r>
        <w:rPr>
          <w:rFonts w:hint="eastAsia"/>
        </w:rPr>
        <w:t>四、公司主营</w:t>
      </w:r>
      <w:r>
        <w:rPr>
          <w:rFonts w:hint="eastAsia"/>
          <w:lang w:val="en-US" w:eastAsia="zh-CN"/>
        </w:rPr>
        <w:t>产品及业务</w:t>
      </w:r>
      <w:r>
        <w:rPr>
          <w:rFonts w:hint="eastAsia"/>
        </w:rPr>
        <w:t>情况</w:t>
      </w:r>
      <w:bookmarkEnd w:id="30"/>
    </w:p>
    <w:p>
      <w:pPr>
        <w:pStyle w:val="4"/>
        <w:bidi w:val="0"/>
        <w:rPr>
          <w:b w:val="0"/>
          <w:bCs/>
        </w:rPr>
      </w:pPr>
      <w:r>
        <w:rPr>
          <w:rFonts w:hint="eastAsia"/>
          <w:b w:val="0"/>
          <w:bCs/>
        </w:rPr>
        <w:t>（一）主要产品内容</w:t>
      </w:r>
      <w:bookmarkStart w:id="50" w:name="_GoBack"/>
      <w:bookmarkEnd w:id="50"/>
    </w:p>
    <w:p>
      <w:pPr>
        <w:ind w:firstLine="480"/>
        <w:rPr>
          <w:rFonts w:hint="eastAsia" w:ascii="宋体" w:hAnsi="宋体"/>
        </w:rPr>
      </w:pPr>
      <w:r>
        <w:rPr>
          <w:rFonts w:hint="eastAsia" w:ascii="宋体" w:hAnsi="宋体"/>
          <w:lang w:val="en-US" w:eastAsia="zh-CN"/>
        </w:rPr>
        <w:t>淄博曼城电子商务有限公司成立于2017年10月，位于淄博市高新区柳泉路139号金融科技中心B座1001-04，是一家集网上贸易代理、商务咨询、企业管理咨询及电子零配件、零售交易终端设备（pos机）等电子产品批发零售的综合类公司。曼城电子以“诚信经营、客户至上”为企业宗旨，以“自强不息，厚德载物”为企业文化理念，愿以高质量的产品，合理的价格，热情的服务与广大新老客户真诚合作，和谐共赢，共谋发展。</w:t>
      </w:r>
    </w:p>
    <w:p>
      <w:pPr>
        <w:ind w:firstLine="480" w:firstLineChars="200"/>
        <w:jc w:val="left"/>
        <w:rPr>
          <w:rFonts w:hint="eastAsia" w:ascii="宋体" w:hAnsi="宋体" w:eastAsia="宋体"/>
          <w:lang w:eastAsia="zh-CN"/>
        </w:rPr>
      </w:pPr>
      <w:r>
        <w:rPr>
          <w:rFonts w:hint="eastAsia" w:ascii="宋体" w:hAnsi="宋体"/>
        </w:rPr>
        <w:t>主营产品</w:t>
      </w:r>
      <w:r>
        <w:rPr>
          <w:rFonts w:hint="eastAsia" w:ascii="宋体" w:hAnsi="宋体"/>
          <w:lang w:eastAsia="zh-CN"/>
        </w:rPr>
        <w:t>：</w:t>
      </w:r>
    </w:p>
    <w:p>
      <w:pPr>
        <w:numPr>
          <w:ilvl w:val="0"/>
          <w:numId w:val="2"/>
        </w:numPr>
        <w:ind w:firstLine="480" w:firstLineChars="200"/>
        <w:jc w:val="left"/>
        <w:rPr>
          <w:rFonts w:hint="eastAsia" w:ascii="宋体" w:hAnsi="宋体"/>
          <w:lang w:val="en-US" w:eastAsia="zh-CN"/>
        </w:rPr>
      </w:pPr>
      <w:r>
        <w:rPr>
          <w:rFonts w:hint="eastAsia" w:ascii="宋体" w:hAnsi="宋体"/>
          <w:lang w:val="en-US" w:eastAsia="zh-CN"/>
        </w:rPr>
        <w:t>Mobile POS 机系列</w:t>
      </w:r>
    </w:p>
    <w:p>
      <w:pPr>
        <w:numPr>
          <w:ilvl w:val="0"/>
          <w:numId w:val="0"/>
        </w:numPr>
        <w:jc w:val="left"/>
        <w:rPr>
          <w:rFonts w:hint="eastAsia" w:ascii="宋体" w:hAnsi="宋体"/>
          <w:lang w:eastAsia="zh-CN"/>
        </w:rPr>
      </w:pPr>
      <w:r>
        <w:rPr>
          <w:rFonts w:hint="eastAsia" w:ascii="宋体" w:hAnsi="宋体"/>
          <w:lang w:eastAsia="zh-CN"/>
        </w:rPr>
        <w:t>此产品系列主要包括 QPOS-Ultra 、 QPOS-Standard 、 QPOS-Plus 、QPOS-Mini。QPOS 系列产品主要用于移动支付，采用独立的输入键盘与多种加密算法确保资金与交易安全。QPOS 产品支持广泛的支付方式，包括磁条卡，IC卡和非接触 IC 卡，具有独有的音频数据传输专利技术，并能支持 IOS、Android等着操作系统，符合国内国际支付行业标准。产品主要应用于线下商户收单，是公司的主营产品。</w:t>
      </w:r>
    </w:p>
    <w:p>
      <w:pPr>
        <w:numPr>
          <w:ilvl w:val="0"/>
          <w:numId w:val="0"/>
        </w:numPr>
        <w:ind w:firstLine="480" w:firstLineChars="200"/>
        <w:jc w:val="center"/>
      </w:pPr>
      <w:r>
        <w:drawing>
          <wp:inline distT="0" distB="0" distL="114300" distR="114300">
            <wp:extent cx="3755390" cy="1769110"/>
            <wp:effectExtent l="0" t="0" r="127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755390" cy="1769110"/>
                    </a:xfrm>
                    <a:prstGeom prst="rect">
                      <a:avLst/>
                    </a:prstGeom>
                    <a:noFill/>
                    <a:ln>
                      <a:noFill/>
                    </a:ln>
                  </pic:spPr>
                </pic:pic>
              </a:graphicData>
            </a:graphic>
          </wp:inline>
        </w:drawing>
      </w:r>
    </w:p>
    <w:p>
      <w:pPr>
        <w:numPr>
          <w:ilvl w:val="0"/>
          <w:numId w:val="2"/>
        </w:numPr>
        <w:ind w:left="0" w:leftChars="0" w:firstLine="480" w:firstLineChars="200"/>
        <w:jc w:val="both"/>
        <w:rPr>
          <w:rFonts w:hint="eastAsia" w:eastAsia="宋体"/>
          <w:lang w:val="en-US" w:eastAsia="zh-CN"/>
        </w:rPr>
      </w:pPr>
      <w:r>
        <w:rPr>
          <w:rFonts w:hint="eastAsia" w:eastAsia="宋体"/>
          <w:lang w:val="en-US" w:eastAsia="zh-CN"/>
        </w:rPr>
        <w:t>收款机</w:t>
      </w:r>
    </w:p>
    <w:p>
      <w:pPr>
        <w:numPr>
          <w:ilvl w:val="0"/>
          <w:numId w:val="0"/>
        </w:numPr>
        <w:jc w:val="both"/>
        <w:rPr>
          <w:rFonts w:hint="eastAsia" w:eastAsia="宋体"/>
          <w:lang w:val="en-US" w:eastAsia="zh-CN"/>
        </w:rPr>
      </w:pPr>
      <w:r>
        <w:rPr>
          <w:rFonts w:hint="eastAsia" w:eastAsia="宋体"/>
          <w:lang w:val="en-US" w:eastAsia="zh-CN"/>
        </w:rPr>
        <w:t>是传统的零售业 POS 收款机，有分体式、一体式两种类型，适合中小型超市、大卖场、便利店等场所。该产品性能稳定，深受客户欢迎</w:t>
      </w:r>
      <w:r>
        <w:rPr>
          <w:rFonts w:hint="eastAsia"/>
          <w:lang w:val="en-US" w:eastAsia="zh-CN"/>
        </w:rPr>
        <w:t>。</w:t>
      </w:r>
    </w:p>
    <w:p>
      <w:pPr>
        <w:numPr>
          <w:ilvl w:val="0"/>
          <w:numId w:val="0"/>
        </w:numPr>
        <w:ind w:leftChars="200"/>
        <w:jc w:val="center"/>
      </w:pPr>
      <w:r>
        <w:drawing>
          <wp:inline distT="0" distB="0" distL="114300" distR="114300">
            <wp:extent cx="2536190" cy="2645410"/>
            <wp:effectExtent l="0" t="0" r="635"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2536190" cy="26454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lang w:val="en-US" w:eastAsia="zh-CN"/>
        </w:rPr>
      </w:pPr>
      <w:r>
        <w:rPr>
          <w:rFonts w:hint="eastAsia"/>
          <w:lang w:val="en-US" w:eastAsia="zh-CN"/>
        </w:rPr>
        <w:t>3、电子配件</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lang w:val="en-US" w:eastAsia="zh-CN"/>
        </w:rPr>
      </w:pPr>
      <w:r>
        <w:rPr>
          <w:rFonts w:hint="default"/>
          <w:lang w:val="en-US" w:eastAsia="zh-CN"/>
        </w:rPr>
        <w:t>主要指公司销售的钞箱、键盘等商业 POS 机配件</w:t>
      </w:r>
      <w:r>
        <w:rPr>
          <w:rFonts w:hint="eastAsia"/>
          <w:lang w:val="en-US" w:eastAsia="zh-CN"/>
        </w:rPr>
        <w:t>。</w:t>
      </w:r>
    </w:p>
    <w:p>
      <w:pPr>
        <w:ind w:firstLine="480" w:firstLineChars="200"/>
        <w:rPr>
          <w:rFonts w:ascii="宋体" w:hAnsi="宋体"/>
        </w:rPr>
      </w:pPr>
      <w:r>
        <w:rPr>
          <w:rFonts w:hint="eastAsia" w:ascii="宋体" w:hAnsi="宋体"/>
        </w:rPr>
        <w:t>（</w:t>
      </w:r>
      <w:r>
        <w:rPr>
          <w:rFonts w:hint="eastAsia" w:ascii="宋体" w:hAnsi="宋体"/>
          <w:lang w:val="en-US" w:eastAsia="zh-CN"/>
        </w:rPr>
        <w:t>二</w:t>
      </w:r>
      <w:r>
        <w:rPr>
          <w:rFonts w:hint="eastAsia" w:ascii="宋体" w:hAnsi="宋体"/>
        </w:rPr>
        <w:t>）主要业务模式</w:t>
      </w:r>
    </w:p>
    <w:p>
      <w:pPr>
        <w:pStyle w:val="6"/>
        <w:bidi w:val="0"/>
      </w:pPr>
      <w:bookmarkStart w:id="31" w:name="_Hlk31887174"/>
      <w:r>
        <w:rPr>
          <w:rFonts w:hint="eastAsia"/>
          <w:lang w:val="en-US" w:eastAsia="zh-CN"/>
        </w:rPr>
        <w:t>1、采购</w:t>
      </w:r>
      <w:r>
        <w:rPr>
          <w:rFonts w:hint="eastAsia"/>
        </w:rPr>
        <w:t>模式</w:t>
      </w:r>
    </w:p>
    <w:p>
      <w:pPr>
        <w:ind w:firstLine="48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司建立了一系列完善的采购管理制度，包括《采购控制程序》、《供应商评审程序》、《来料检验程序》等并予以严格执行。该等制度的有效实施确保了公司采购流程的简捷、高效、受控，出入库及存货管理严格、规范、有序。公司所有的</w:t>
      </w:r>
      <w:r>
        <w:rPr>
          <w:rFonts w:hint="eastAsia" w:ascii="宋体" w:hAnsi="宋体" w:cs="宋体"/>
          <w:color w:val="000000" w:themeColor="text1"/>
          <w:lang w:val="en-US" w:eastAsia="zh-CN"/>
          <w14:textFill>
            <w14:solidFill>
              <w14:schemeClr w14:val="tx1"/>
            </w14:solidFill>
          </w14:textFill>
        </w:rPr>
        <w:t>产品</w:t>
      </w:r>
      <w:r>
        <w:rPr>
          <w:rFonts w:hint="eastAsia" w:ascii="宋体" w:hAnsi="宋体" w:cs="宋体"/>
          <w:color w:val="000000" w:themeColor="text1"/>
          <w14:textFill>
            <w14:solidFill>
              <w14:schemeClr w14:val="tx1"/>
            </w14:solidFill>
          </w14:textFill>
        </w:rPr>
        <w:t>，特别是重要</w:t>
      </w:r>
      <w:r>
        <w:rPr>
          <w:rFonts w:hint="eastAsia" w:ascii="宋体" w:hAnsi="宋体" w:cs="宋体"/>
          <w:color w:val="000000" w:themeColor="text1"/>
          <w:lang w:val="en-US" w:eastAsia="zh-CN"/>
          <w14:textFill>
            <w14:solidFill>
              <w14:schemeClr w14:val="tx1"/>
            </w14:solidFill>
          </w14:textFill>
        </w:rPr>
        <w:t>电子配件</w:t>
      </w:r>
      <w:r>
        <w:rPr>
          <w:rFonts w:hint="eastAsia" w:ascii="宋体" w:hAnsi="宋体" w:cs="宋体"/>
          <w:color w:val="000000" w:themeColor="text1"/>
          <w14:textFill>
            <w14:solidFill>
              <w14:schemeClr w14:val="tx1"/>
            </w14:solidFill>
          </w14:textFill>
        </w:rPr>
        <w:t>，一般都选择两个及两个以上的供货商，以提高供货的安全性，并在供货质量和价格上形成竞争关系。</w:t>
      </w:r>
    </w:p>
    <w:p>
      <w:pPr>
        <w:pStyle w:val="6"/>
        <w:bidi w:val="0"/>
      </w:pPr>
      <w:r>
        <w:rPr>
          <w:rFonts w:hint="eastAsia"/>
          <w:lang w:val="en-US" w:eastAsia="zh-CN"/>
        </w:rPr>
        <w:t>2、销售模式</w:t>
      </w:r>
    </w:p>
    <w:p>
      <w:pPr>
        <w:pStyle w:val="19"/>
        <w:keepNext w:val="0"/>
        <w:keepLines w:val="0"/>
        <w:pageBreakBefore w:val="0"/>
        <w:widowControl w:val="0"/>
        <w:numPr>
          <w:ilvl w:val="255"/>
          <w:numId w:val="0"/>
        </w:numPr>
        <w:kinsoku/>
        <w:wordWrap/>
        <w:overflowPunct/>
        <w:topLinePunct w:val="0"/>
        <w:autoSpaceDE/>
        <w:autoSpaceDN/>
        <w:bidi w:val="0"/>
        <w:adjustRightInd/>
        <w:snapToGrid/>
        <w:ind w:firstLine="480" w:firstLineChars="200"/>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公司主要采用直销、经销模式进行销售，</w:t>
      </w:r>
      <w:r>
        <w:rPr>
          <w:rFonts w:hint="eastAsia" w:ascii="宋体" w:hAnsi="宋体" w:cs="宋体"/>
          <w:color w:val="000000" w:themeColor="text1"/>
          <w:lang w:val="en-US" w:eastAsia="zh-CN"/>
          <w14:textFill>
            <w14:solidFill>
              <w14:schemeClr w14:val="tx1"/>
            </w14:solidFill>
          </w14:textFill>
        </w:rPr>
        <w:t>通过代销上游pos机等电子产品，</w:t>
      </w:r>
      <w:r>
        <w:rPr>
          <w:rFonts w:hint="eastAsia" w:ascii="宋体" w:hAnsi="宋体" w:cs="宋体"/>
          <w:color w:val="000000" w:themeColor="text1"/>
          <w14:textFill>
            <w14:solidFill>
              <w14:schemeClr w14:val="tx1"/>
            </w14:solidFill>
          </w14:textFill>
        </w:rPr>
        <w:t>委派销售人员直接寻找终端客户和提供技术支持。直销模式有利于公司与客户面对面的沟通，通过双方商务及技术人员的多层次沟通，了解产品使用环境和技术要求，贴近和满足客户的实际需求。这种扁平化的销售模式有利于与客户建立起稳固的合作关系。</w:t>
      </w:r>
    </w:p>
    <w:p>
      <w:pPr>
        <w:ind w:firstLine="480" w:firstLineChars="200"/>
        <w:outlineLvl w:val="2"/>
        <w:rPr>
          <w:rFonts w:ascii="宋体" w:hAnsi="宋体" w:cs="宋体"/>
          <w:color w:val="000000" w:themeColor="text1"/>
          <w14:textFill>
            <w14:solidFill>
              <w14:schemeClr w14:val="tx1"/>
            </w14:solidFill>
          </w14:textFill>
        </w:rPr>
      </w:pPr>
      <w:r>
        <w:rPr>
          <w:rFonts w:hint="eastAsia"/>
          <w:b w:val="0"/>
          <w:bCs/>
          <w:lang w:val="en-US" w:eastAsia="zh-CN"/>
        </w:rPr>
        <w:t>3、</w:t>
      </w:r>
      <w:r>
        <w:rPr>
          <w:rFonts w:hint="eastAsia" w:ascii="宋体" w:hAnsi="宋体" w:cs="宋体"/>
          <w:color w:val="000000" w:themeColor="text1"/>
          <w14:textFill>
            <w14:solidFill>
              <w14:schemeClr w14:val="tx1"/>
            </w14:solidFill>
          </w14:textFill>
        </w:rPr>
        <w:t>盈利模式</w:t>
      </w:r>
    </w:p>
    <w:p>
      <w:pPr>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司的销售与服务模式能够最大限度的稳定公司与客户关系，公司以客户需求为导向的销售模式，提升了客户对公司提供服务的满意度以及依赖性，积攒了一批固定客户群，稳定的下游客户有助于公司减少资金链不足的风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rPr>
      </w:pPr>
      <w:r>
        <w:rPr>
          <w:rFonts w:ascii="宋体" w:hAnsi="宋体" w:cs="宋体"/>
          <w:color w:val="000000" w:themeColor="text1"/>
          <w14:textFill>
            <w14:solidFill>
              <w14:schemeClr w14:val="tx1"/>
            </w14:solidFill>
          </w14:textFill>
        </w:rPr>
        <w:t>目前，公司凭借良好的市场口碑、优质的服务质量，已取得一定的竞争优势。未来，公司将通过整合人才资源，挖掘行业信息，</w:t>
      </w:r>
      <w:r>
        <w:rPr>
          <w:rFonts w:hint="eastAsia" w:ascii="宋体" w:hAnsi="宋体" w:cs="宋体"/>
          <w:color w:val="000000" w:themeColor="text1"/>
          <w:lang w:val="en-US" w:eastAsia="zh-CN"/>
          <w14:textFill>
            <w14:solidFill>
              <w14:schemeClr w14:val="tx1"/>
            </w14:solidFill>
          </w14:textFill>
        </w:rPr>
        <w:t>拓宽经营范围，打通上、下游产业链。</w:t>
      </w:r>
      <w:bookmarkEnd w:id="31"/>
    </w:p>
    <w:p>
      <w:pPr>
        <w:pStyle w:val="3"/>
        <w:ind w:left="480"/>
        <w:rPr>
          <w:highlight w:val="none"/>
        </w:rPr>
      </w:pPr>
      <w:bookmarkStart w:id="32" w:name="_Toc27230"/>
      <w:r>
        <w:rPr>
          <w:rFonts w:hint="eastAsia"/>
          <w:highlight w:val="none"/>
        </w:rPr>
        <w:t>五、公司财务报表简表</w:t>
      </w:r>
      <w:bookmarkEnd w:id="32"/>
    </w:p>
    <w:p>
      <w:pPr>
        <w:numPr>
          <w:ilvl w:val="0"/>
          <w:numId w:val="3"/>
        </w:numPr>
        <w:ind w:firstLine="480"/>
        <w:rPr>
          <w:rFonts w:ascii="宋体" w:hAnsi="宋体"/>
        </w:rPr>
      </w:pPr>
      <w:bookmarkStart w:id="33" w:name="_Toc248204895"/>
      <w:r>
        <w:rPr>
          <w:rFonts w:hint="eastAsia" w:ascii="宋体" w:hAnsi="宋体"/>
        </w:rPr>
        <w:t>资产负债表</w:t>
      </w:r>
      <w:bookmarkEnd w:id="33"/>
      <w:bookmarkStart w:id="34" w:name="_Toc248204896"/>
    </w:p>
    <w:tbl>
      <w:tblPr>
        <w:tblStyle w:val="12"/>
        <w:tblW w:w="7209" w:type="dxa"/>
        <w:tblInd w:w="99" w:type="dxa"/>
        <w:shd w:val="clear" w:color="auto" w:fill="auto"/>
        <w:tblLayout w:type="autofit"/>
        <w:tblCellMar>
          <w:top w:w="0" w:type="dxa"/>
          <w:left w:w="108" w:type="dxa"/>
          <w:bottom w:w="0" w:type="dxa"/>
          <w:right w:w="108" w:type="dxa"/>
        </w:tblCellMar>
      </w:tblPr>
      <w:tblGrid>
        <w:gridCol w:w="2116"/>
        <w:gridCol w:w="1866"/>
        <w:gridCol w:w="1866"/>
        <w:gridCol w:w="1766"/>
      </w:tblGrid>
      <w:tr>
        <w:tblPrEx>
          <w:shd w:val="clear" w:color="auto" w:fill="auto"/>
          <w:tblCellMar>
            <w:top w:w="0" w:type="dxa"/>
            <w:left w:w="108" w:type="dxa"/>
            <w:bottom w:w="0" w:type="dxa"/>
            <w:right w:w="108" w:type="dxa"/>
          </w:tblCellMar>
        </w:tblPrEx>
        <w:trPr>
          <w:trHeight w:val="402" w:hRule="atLeast"/>
        </w:trPr>
        <w:tc>
          <w:tcPr>
            <w:tcW w:w="7212" w:type="dxa"/>
            <w:gridSpan w:val="4"/>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资产负债表</w:t>
            </w:r>
          </w:p>
        </w:tc>
      </w:tr>
      <w:tr>
        <w:tblPrEx>
          <w:shd w:val="clear" w:color="auto" w:fill="auto"/>
          <w:tblCellMar>
            <w:top w:w="0" w:type="dxa"/>
            <w:left w:w="108" w:type="dxa"/>
            <w:bottom w:w="0" w:type="dxa"/>
            <w:right w:w="108" w:type="dxa"/>
          </w:tblCellMar>
        </w:tblPrEx>
        <w:trPr>
          <w:trHeight w:val="282" w:hRule="atLeast"/>
        </w:trPr>
        <w:tc>
          <w:tcPr>
            <w:tcW w:w="5685" w:type="dxa"/>
            <w:gridSpan w:val="3"/>
            <w:tcBorders>
              <w:top w:val="nil"/>
              <w:left w:val="nil"/>
              <w:bottom w:val="single" w:color="000000"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编制单位:淄博曼城电子商务有限公司</w:t>
            </w:r>
          </w:p>
        </w:tc>
        <w:tc>
          <w:tcPr>
            <w:tcW w:w="0" w:type="auto"/>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2021年3月31日</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流动资产：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货币资金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6,321.31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44,565.72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148,255.57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短期投资 </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应收票据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应收账款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241,043.81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346,094.67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267,571.31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预付账款 </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应收股利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应收利息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其他应收款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存货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132,456.18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152,456.18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流动资产合计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247,365.12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523,116.57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568,283.06 </w:t>
            </w:r>
          </w:p>
        </w:tc>
      </w:tr>
      <w:tr>
        <w:tblPrEx>
          <w:shd w:val="clear" w:color="auto" w:fill="auto"/>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长期债券投资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长期股权投资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固定资产原价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292,494.00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312,716.00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312,716.00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减：累计折旧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104,200.99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178,471.04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197,038.55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固定资产账面价值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188,293.01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134,244.96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115,677.45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在建工程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工程物资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固定资产清理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生产性生物资产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开发支出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长期待摊费用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其他非流动资产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非流动资产合计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188,293.01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134,244.96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115,677.45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资产总计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435,658.13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657,361.53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683,960.51 </w:t>
            </w:r>
          </w:p>
        </w:tc>
      </w:tr>
    </w:tbl>
    <w:p>
      <w:pPr>
        <w:rPr>
          <w:rFonts w:ascii="宋体" w:hAnsi="宋体"/>
        </w:rPr>
      </w:pPr>
    </w:p>
    <w:tbl>
      <w:tblPr>
        <w:tblStyle w:val="12"/>
        <w:tblW w:w="7209" w:type="dxa"/>
        <w:tblInd w:w="99" w:type="dxa"/>
        <w:shd w:val="clear" w:color="auto" w:fill="auto"/>
        <w:tblLayout w:type="autofit"/>
        <w:tblCellMar>
          <w:top w:w="0" w:type="dxa"/>
          <w:left w:w="108" w:type="dxa"/>
          <w:bottom w:w="0" w:type="dxa"/>
          <w:right w:w="108" w:type="dxa"/>
        </w:tblCellMar>
      </w:tblPr>
      <w:tblGrid>
        <w:gridCol w:w="2116"/>
        <w:gridCol w:w="1866"/>
        <w:gridCol w:w="1866"/>
        <w:gridCol w:w="1766"/>
      </w:tblGrid>
      <w:tr>
        <w:tblPrEx>
          <w:shd w:val="clear" w:color="auto" w:fill="auto"/>
          <w:tblCellMar>
            <w:top w:w="0" w:type="dxa"/>
            <w:left w:w="108" w:type="dxa"/>
            <w:bottom w:w="0" w:type="dxa"/>
            <w:right w:w="108" w:type="dxa"/>
          </w:tblCellMar>
        </w:tblPrEx>
        <w:trPr>
          <w:trHeight w:val="402" w:hRule="atLeast"/>
        </w:trPr>
        <w:tc>
          <w:tcPr>
            <w:tcW w:w="7212" w:type="dxa"/>
            <w:gridSpan w:val="4"/>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资产负债表（续）</w:t>
            </w:r>
          </w:p>
        </w:tc>
      </w:tr>
      <w:tr>
        <w:tblPrEx>
          <w:shd w:val="clear" w:color="auto" w:fill="auto"/>
          <w:tblCellMar>
            <w:top w:w="0" w:type="dxa"/>
            <w:left w:w="108" w:type="dxa"/>
            <w:bottom w:w="0" w:type="dxa"/>
            <w:right w:w="108" w:type="dxa"/>
          </w:tblCellMar>
        </w:tblPrEx>
        <w:trPr>
          <w:trHeight w:val="282" w:hRule="atLeast"/>
        </w:trPr>
        <w:tc>
          <w:tcPr>
            <w:tcW w:w="5685" w:type="dxa"/>
            <w:gridSpan w:val="3"/>
            <w:tcBorders>
              <w:top w:val="nil"/>
              <w:left w:val="nil"/>
              <w:bottom w:val="single" w:color="000000"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编制单位:淄博曼城电子商务有限公司</w:t>
            </w:r>
          </w:p>
        </w:tc>
        <w:tc>
          <w:tcPr>
            <w:tcW w:w="0" w:type="auto"/>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负债及所有者权益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2021年3月31日</w:t>
            </w: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流动负债：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短期借款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应付票据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应付账款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预收账款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应付职工薪酬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应交税费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5,548.31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1,343.75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1,693.66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应付利息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其他应交款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其他应付款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127,334.77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321,695.65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339,484.29 </w:t>
            </w: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流动负债合计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132,883.08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323,039.40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341,177.95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长期借款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长期应付款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递延收益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其他非流动负债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非流动负债合计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负债合计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132,883.08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323,039.40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341,177.95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所有者权益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2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实收资本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300,000.00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300,000.00 </w:t>
            </w:r>
          </w:p>
        </w:tc>
        <w:tc>
          <w:tcPr>
            <w:tcW w:w="152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300,000.00 </w:t>
            </w:r>
          </w:p>
        </w:tc>
      </w:tr>
      <w:tr>
        <w:tblPrEx>
          <w:shd w:val="clear" w:color="auto" w:fill="auto"/>
          <w:tblCellMar>
            <w:top w:w="0" w:type="dxa"/>
            <w:left w:w="108" w:type="dxa"/>
            <w:bottom w:w="0" w:type="dxa"/>
            <w:right w:w="108" w:type="dxa"/>
          </w:tblCellMar>
        </w:tblPrEx>
        <w:trPr>
          <w:trHeight w:val="282" w:hRule="atLeast"/>
        </w:trPr>
        <w:tc>
          <w:tcPr>
            <w:tcW w:w="2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资本公积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宋体" w:hAnsi="宋体" w:eastAsia="宋体" w:cs="宋体"/>
                <w:i w:val="0"/>
                <w:iCs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2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盈余公积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3,154.71 </w:t>
            </w:r>
          </w:p>
        </w:tc>
        <w:tc>
          <w:tcPr>
            <w:tcW w:w="152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3,154.71 </w:t>
            </w:r>
          </w:p>
        </w:tc>
      </w:tr>
      <w:tr>
        <w:tblPrEx>
          <w:shd w:val="clear" w:color="auto" w:fill="auto"/>
          <w:tblCellMar>
            <w:top w:w="0" w:type="dxa"/>
            <w:left w:w="108" w:type="dxa"/>
            <w:bottom w:w="0" w:type="dxa"/>
            <w:right w:w="108" w:type="dxa"/>
          </w:tblCellMar>
        </w:tblPrEx>
        <w:trPr>
          <w:trHeight w:val="282" w:hRule="atLeast"/>
        </w:trPr>
        <w:tc>
          <w:tcPr>
            <w:tcW w:w="2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未分配利润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2,775.05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31,167.42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39,627.85 </w:t>
            </w:r>
          </w:p>
        </w:tc>
      </w:tr>
      <w:tr>
        <w:tblPrEx>
          <w:shd w:val="clear" w:color="auto" w:fill="auto"/>
          <w:tblCellMar>
            <w:top w:w="0" w:type="dxa"/>
            <w:left w:w="108" w:type="dxa"/>
            <w:bottom w:w="0" w:type="dxa"/>
            <w:right w:w="108" w:type="dxa"/>
          </w:tblCellMar>
        </w:tblPrEx>
        <w:trPr>
          <w:trHeight w:val="282" w:hRule="atLeast"/>
        </w:trPr>
        <w:tc>
          <w:tcPr>
            <w:tcW w:w="2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所有者权益合计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302,775.05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334,322.13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342,782.56 </w:t>
            </w:r>
          </w:p>
        </w:tc>
      </w:tr>
      <w:tr>
        <w:tblPrEx>
          <w:shd w:val="clear" w:color="auto" w:fill="auto"/>
          <w:tblCellMar>
            <w:top w:w="0" w:type="dxa"/>
            <w:left w:w="108" w:type="dxa"/>
            <w:bottom w:w="0" w:type="dxa"/>
            <w:right w:w="108" w:type="dxa"/>
          </w:tblCellMar>
        </w:tblPrEx>
        <w:trPr>
          <w:trHeight w:val="282" w:hRule="atLeast"/>
        </w:trPr>
        <w:tc>
          <w:tcPr>
            <w:tcW w:w="2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负债和所有者权益总计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435,658.13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657,361.53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683,960.51 </w:t>
            </w:r>
          </w:p>
        </w:tc>
      </w:tr>
    </w:tbl>
    <w:p>
      <w:pPr>
        <w:rPr>
          <w:rFonts w:ascii="宋体" w:hAnsi="宋体"/>
        </w:rPr>
      </w:pPr>
    </w:p>
    <w:p>
      <w:pPr>
        <w:numPr>
          <w:ilvl w:val="0"/>
          <w:numId w:val="3"/>
        </w:numPr>
        <w:ind w:firstLine="480"/>
        <w:rPr>
          <w:rFonts w:ascii="宋体" w:hAnsi="宋体"/>
        </w:rPr>
      </w:pPr>
      <w:r>
        <w:rPr>
          <w:rFonts w:hint="eastAsia" w:ascii="宋体" w:hAnsi="宋体"/>
        </w:rPr>
        <w:t>利润表</w:t>
      </w:r>
      <w:bookmarkEnd w:id="34"/>
      <w:bookmarkStart w:id="35" w:name="_Hlk37328834"/>
    </w:p>
    <w:tbl>
      <w:tblPr>
        <w:tblStyle w:val="12"/>
        <w:tblW w:w="9146" w:type="dxa"/>
        <w:tblInd w:w="99" w:type="dxa"/>
        <w:shd w:val="clear" w:color="auto" w:fill="auto"/>
        <w:tblLayout w:type="autofit"/>
        <w:tblCellMar>
          <w:top w:w="0" w:type="dxa"/>
          <w:left w:w="108" w:type="dxa"/>
          <w:bottom w:w="0" w:type="dxa"/>
          <w:right w:w="108" w:type="dxa"/>
        </w:tblCellMar>
      </w:tblPr>
      <w:tblGrid>
        <w:gridCol w:w="5222"/>
        <w:gridCol w:w="1964"/>
        <w:gridCol w:w="1965"/>
      </w:tblGrid>
      <w:tr>
        <w:tblPrEx>
          <w:shd w:val="clear" w:color="auto" w:fill="auto"/>
          <w:tblCellMar>
            <w:top w:w="0" w:type="dxa"/>
            <w:left w:w="108" w:type="dxa"/>
            <w:bottom w:w="0" w:type="dxa"/>
            <w:right w:w="108" w:type="dxa"/>
          </w:tblCellMar>
        </w:tblPrEx>
        <w:trPr>
          <w:trHeight w:val="402" w:hRule="atLeast"/>
        </w:trPr>
        <w:tc>
          <w:tcPr>
            <w:tcW w:w="9151" w:type="dxa"/>
            <w:gridSpan w:val="3"/>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利润表</w:t>
            </w:r>
          </w:p>
        </w:tc>
      </w:tr>
      <w:tr>
        <w:tblPrEx>
          <w:shd w:val="clear" w:color="auto" w:fill="auto"/>
          <w:tblCellMar>
            <w:top w:w="0" w:type="dxa"/>
            <w:left w:w="108" w:type="dxa"/>
            <w:bottom w:w="0" w:type="dxa"/>
            <w:right w:w="108" w:type="dxa"/>
          </w:tblCellMar>
        </w:tblPrEx>
        <w:trPr>
          <w:trHeight w:val="420" w:hRule="atLeast"/>
        </w:trPr>
        <w:tc>
          <w:tcPr>
            <w:tcW w:w="4144"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编制单位：淄博曼城电子商务有限公司</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2020年度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2021年1-3月</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一、营业收入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3,595,760.46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1,271,061.12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减：营业成本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3,174,152.00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1,130,287.00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营业税金及附加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8,234.22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2,757.28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销售费用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管理费用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381,400.64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129,883.96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财务费用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-428.22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-156.23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其中：利息费用（收入以“-”号填列）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加：投资收益（损益以“-”号填列）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二、营业利润（亏损以“-”号填列）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32,401.82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8,289.11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加：营业外收入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805.63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171.32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减：营业外支出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三、利润总额（亏损总额以“-”号填列）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33,207.45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8,460.43 </w:t>
            </w: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减：所得税费用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1,660.37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四、净利润（净亏损以“-”号填列）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31,547.08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8,460.43 </w:t>
            </w:r>
          </w:p>
        </w:tc>
      </w:tr>
    </w:tbl>
    <w:p>
      <w:pPr>
        <w:rPr>
          <w:rFonts w:ascii="宋体" w:hAnsi="宋体"/>
        </w:rPr>
      </w:pPr>
    </w:p>
    <w:bookmarkEnd w:id="35"/>
    <w:p>
      <w:pPr>
        <w:numPr>
          <w:ilvl w:val="0"/>
          <w:numId w:val="3"/>
        </w:numPr>
        <w:ind w:firstLine="480"/>
        <w:rPr>
          <w:rFonts w:ascii="宋体" w:hAnsi="宋体"/>
        </w:rPr>
      </w:pPr>
      <w:bookmarkStart w:id="36" w:name="_Toc248204897"/>
      <w:r>
        <w:rPr>
          <w:rFonts w:hint="eastAsia" w:ascii="宋体" w:hAnsi="宋体"/>
        </w:rPr>
        <w:t>现金流量表</w:t>
      </w:r>
      <w:bookmarkEnd w:id="36"/>
    </w:p>
    <w:tbl>
      <w:tblPr>
        <w:tblStyle w:val="12"/>
        <w:tblW w:w="9446" w:type="dxa"/>
        <w:tblInd w:w="99" w:type="dxa"/>
        <w:shd w:val="clear" w:color="auto" w:fill="auto"/>
        <w:tblLayout w:type="autofit"/>
        <w:tblCellMar>
          <w:top w:w="0" w:type="dxa"/>
          <w:left w:w="108" w:type="dxa"/>
          <w:bottom w:w="0" w:type="dxa"/>
          <w:right w:w="108" w:type="dxa"/>
        </w:tblCellMar>
      </w:tblPr>
      <w:tblGrid>
        <w:gridCol w:w="5616"/>
        <w:gridCol w:w="2004"/>
        <w:gridCol w:w="1827"/>
      </w:tblGrid>
      <w:tr>
        <w:trPr>
          <w:trHeight w:val="402" w:hRule="atLeast"/>
        </w:trPr>
        <w:tc>
          <w:tcPr>
            <w:tcW w:w="9447" w:type="dxa"/>
            <w:gridSpan w:val="3"/>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现金流量表</w:t>
            </w:r>
          </w:p>
        </w:tc>
      </w:tr>
      <w:tr>
        <w:tblPrEx>
          <w:tblCellMar>
            <w:top w:w="0" w:type="dxa"/>
            <w:left w:w="108" w:type="dxa"/>
            <w:bottom w:w="0" w:type="dxa"/>
            <w:right w:w="108" w:type="dxa"/>
          </w:tblCellMar>
        </w:tblPrEx>
        <w:trPr>
          <w:trHeight w:val="282"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编制单位:淄博曼城电子商务有限公司</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单位：元</w:t>
            </w: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2020年度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2021年1-3月</w:t>
            </w: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一、经营活动产生的现金流量：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销售商品、提供劳务收到的现金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3,490,709.60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1,349,584.48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收到的税费返还</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收到其他与经营活动有关的现金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经营活动现金流入小计</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3,490,709.60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1,349,584.48 </w:t>
            </w:r>
          </w:p>
        </w:tc>
      </w:tr>
      <w:tr>
        <w:tblPrEx>
          <w:shd w:val="clear" w:color="auto" w:fill="auto"/>
          <w:tblCellMar>
            <w:top w:w="0" w:type="dxa"/>
            <w:left w:w="108" w:type="dxa"/>
            <w:bottom w:w="0" w:type="dxa"/>
            <w:right w:w="108" w:type="dxa"/>
          </w:tblCellMar>
        </w:tblPrEx>
        <w:trPr>
          <w:trHeight w:val="26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购买商品、接受劳务支付的现金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2,618,296.86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951,638.30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支付给职工以及为职工支付的现金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543,079.32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204,125.32 </w:t>
            </w:r>
          </w:p>
        </w:tc>
      </w:tr>
      <w:tr>
        <w:tblPrEx>
          <w:tblCellMar>
            <w:top w:w="0" w:type="dxa"/>
            <w:left w:w="108" w:type="dxa"/>
            <w:bottom w:w="0" w:type="dxa"/>
            <w:right w:w="108" w:type="dxa"/>
          </w:tblCellMar>
        </w:tblPrEx>
        <w:trPr>
          <w:trHeight w:val="26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支付的各项税费</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9,894.59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2,757.28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支付其他与经营活动有关的现金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260,972.42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87,373.73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经营活动现金流出小计</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3,432,243.19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1,245,894.63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经营活动产生的现金流量净额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58,466.41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103,689.85 </w:t>
            </w:r>
          </w:p>
        </w:tc>
      </w:tr>
      <w:tr>
        <w:tblPrEx>
          <w:shd w:val="clear" w:color="auto" w:fill="auto"/>
          <w:tblCellMar>
            <w:top w:w="0" w:type="dxa"/>
            <w:left w:w="108" w:type="dxa"/>
            <w:bottom w:w="0" w:type="dxa"/>
            <w:right w:w="108" w:type="dxa"/>
          </w:tblCellMar>
        </w:tblPrEx>
        <w:trPr>
          <w:trHeight w:val="26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二、投资活动产生的现金流量：</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收回投资收到的现金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取得投资收益收到的现金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处置固定资产、无形资产和其他长期资产收回的现金净额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处置子公司及其他营业单位收到的现金净额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收到其他与投资活动有关的现金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投资活动现金流入小计</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购建固定资产、无形资产和其他长期资产支付的现金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20,222.00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投资支付的现金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取得子公司及其他营业单位支付的现金净额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支付其他与投资活动有关的现金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投资活动现金流出小计</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20,222.00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投资活动产生的现金流量净额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-20,222.00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tblCellMar>
            <w:top w:w="0" w:type="dxa"/>
            <w:left w:w="108" w:type="dxa"/>
            <w:bottom w:w="0" w:type="dxa"/>
            <w:right w:w="108" w:type="dxa"/>
          </w:tblCellMar>
        </w:tblPrEx>
        <w:trPr>
          <w:trHeight w:val="2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三、筹资活动产生的现金流量：</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吸收投资收到的现金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shd w:val="clear" w:color="auto" w:fill="auto"/>
          <w:tblCellMar>
            <w:top w:w="0" w:type="dxa"/>
            <w:left w:w="108" w:type="dxa"/>
            <w:bottom w:w="0" w:type="dxa"/>
            <w:right w:w="108" w:type="dxa"/>
          </w:tblCellMar>
        </w:tblPrEx>
        <w:trPr>
          <w:trHeight w:val="282"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取得借款收到的现金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收到其他与筹资活动有关的现金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筹资活动现金流入小计</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偿还债务支付的现金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nil"/>
              <w:left w:val="single" w:color="000000" w:sz="4" w:space="0"/>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分配股利、利润或偿付利息支付的现金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支付其他与筹资活动有关的现金</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筹资活动现金流出小计</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筹资活动产生的现金流量净额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   </w:t>
            </w:r>
          </w:p>
        </w:tc>
      </w:tr>
      <w:tr>
        <w:tblPrEx>
          <w:shd w:val="clear" w:color="auto" w:fill="auto"/>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四、汇率变动对现金及现金等价物的影响</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五、现金及现金等价物净增加额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38,244.41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103,689.85 </w:t>
            </w:r>
          </w:p>
        </w:tc>
      </w:tr>
      <w:tr>
        <w:tblPrEx>
          <w:shd w:val="clear" w:color="auto" w:fill="auto"/>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加：期初现金及现金等价物余额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6,321.31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44,565.72 </w:t>
            </w:r>
          </w:p>
        </w:tc>
      </w:tr>
      <w:tr>
        <w:tblPrEx>
          <w:tblCellMar>
            <w:top w:w="0" w:type="dxa"/>
            <w:left w:w="108" w:type="dxa"/>
            <w:bottom w:w="0" w:type="dxa"/>
            <w:right w:w="108" w:type="dxa"/>
          </w:tblCellMar>
        </w:tblPrEx>
        <w:trPr>
          <w:trHeight w:val="2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六、期末现金及现金等价物余额</w:t>
            </w:r>
          </w:p>
        </w:tc>
        <w:tc>
          <w:tcPr>
            <w:tcW w:w="2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44,565.72 </w:t>
            </w:r>
          </w:p>
        </w:tc>
        <w:tc>
          <w:tcPr>
            <w:tcW w:w="2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148,255.57 </w:t>
            </w:r>
          </w:p>
        </w:tc>
      </w:tr>
    </w:tbl>
    <w:p>
      <w:pPr>
        <w:ind w:firstLine="480" w:firstLineChars="200"/>
        <w:rPr>
          <w:rFonts w:hint="eastAsia"/>
        </w:rPr>
      </w:pPr>
      <w:r>
        <w:rPr>
          <w:rFonts w:hint="eastAsia" w:ascii="宋体" w:hAnsi="宋体"/>
        </w:rPr>
        <w:t>公司</w:t>
      </w:r>
      <w:r>
        <w:rPr>
          <w:rFonts w:ascii="宋体" w:hAnsi="宋体"/>
        </w:rPr>
        <w:t>报告期财务会计信息</w:t>
      </w:r>
      <w:r>
        <w:rPr>
          <w:rFonts w:hint="eastAsia" w:ascii="宋体" w:hAnsi="宋体"/>
        </w:rPr>
        <w:t>无虚假记载</w:t>
      </w:r>
      <w:r>
        <w:rPr>
          <w:rFonts w:ascii="宋体" w:hAnsi="宋体"/>
        </w:rPr>
        <w:t>。</w:t>
      </w:r>
    </w:p>
    <w:p>
      <w:pPr>
        <w:pStyle w:val="3"/>
        <w:ind w:left="480"/>
      </w:pPr>
      <w:bookmarkStart w:id="37" w:name="_Toc31158"/>
      <w:r>
        <w:rPr>
          <w:rFonts w:hint="eastAsia"/>
        </w:rPr>
        <w:t>六、公司经营目标及计划</w:t>
      </w:r>
      <w:bookmarkEnd w:id="37"/>
    </w:p>
    <w:p>
      <w:pPr>
        <w:ind w:firstLine="480" w:firstLineChars="200"/>
        <w:rPr>
          <w:rFonts w:hint="eastAsia"/>
        </w:rPr>
      </w:pPr>
      <w:bookmarkStart w:id="38" w:name="_Toc346286158"/>
      <w:bookmarkStart w:id="39" w:name="_Toc342567520"/>
      <w:bookmarkStart w:id="40" w:name="_Toc347823210"/>
      <w:bookmarkStart w:id="41" w:name="_Toc347755025"/>
      <w:bookmarkStart w:id="42" w:name="_Toc317756608"/>
      <w:bookmarkStart w:id="43" w:name="_Toc346092744"/>
      <w:bookmarkStart w:id="44" w:name="_Hlk31887440"/>
      <w:r>
        <w:rPr>
          <w:rFonts w:hint="eastAsia"/>
        </w:rPr>
        <w:t>（一）经营目标</w:t>
      </w:r>
    </w:p>
    <w:p>
      <w:pPr>
        <w:ind w:firstLine="480" w:firstLineChars="200"/>
        <w:rPr>
          <w:rFonts w:hint="eastAsia"/>
        </w:rPr>
      </w:pPr>
      <w:r>
        <w:rPr>
          <w:rFonts w:hint="eastAsia"/>
        </w:rPr>
        <w:t>公司坚持机械零件和机械部件的产品定位，在已进入的化工设备零部件、建筑施工设备零部件、农机设备零部件定制等目标市场继续深入开拓，同时，开拓并进入更多新的细分零部件定制市场领域，并逐渐形成规模，开发更多海外渠道。</w:t>
      </w:r>
    </w:p>
    <w:p>
      <w:pPr>
        <w:ind w:firstLine="480" w:firstLineChars="200"/>
        <w:rPr>
          <w:rFonts w:hint="eastAsia"/>
        </w:rPr>
      </w:pPr>
      <w:r>
        <w:rPr>
          <w:rFonts w:hint="eastAsia"/>
        </w:rPr>
        <w:t>（二）具体发展业务计划</w:t>
      </w:r>
    </w:p>
    <w:p>
      <w:pPr>
        <w:pStyle w:val="6"/>
        <w:bidi w:val="0"/>
        <w:rPr>
          <w:rFonts w:hint="eastAsia"/>
        </w:rPr>
      </w:pPr>
      <w:bookmarkStart w:id="45" w:name="_Toc2323"/>
      <w:r>
        <w:rPr>
          <w:rFonts w:hint="eastAsia"/>
        </w:rPr>
        <w:t>1、</w:t>
      </w:r>
      <w:r>
        <w:rPr>
          <w:rFonts w:hint="eastAsia"/>
          <w:lang w:val="en-US" w:eastAsia="zh-CN"/>
        </w:rPr>
        <w:t>开拓市场渠道，稳固客户资源</w:t>
      </w:r>
      <w:r>
        <w:rPr>
          <w:rFonts w:hint="eastAsia"/>
        </w:rPr>
        <w:t xml:space="preserve"> </w:t>
      </w:r>
    </w:p>
    <w:p>
      <w:pPr>
        <w:ind w:firstLine="480" w:firstLineChars="200"/>
      </w:pPr>
      <w:r>
        <w:rPr>
          <w:rFonts w:hint="eastAsia"/>
        </w:rPr>
        <w:t>市场和客户开发是实现公司发展目标的首要工作，主要从以下几个方面进行：一是市场渠道建设，优化国际市场渠道建设，提高国际市场占比，继续完善澳洲及周边国家市场渠道建设，分步骤完成</w:t>
      </w:r>
      <w:r>
        <w:rPr>
          <w:rFonts w:hint="eastAsia"/>
          <w:lang w:val="en-US" w:eastAsia="zh-CN"/>
        </w:rPr>
        <w:t>海外</w:t>
      </w:r>
      <w:r>
        <w:rPr>
          <w:rFonts w:hint="eastAsia"/>
        </w:rPr>
        <w:t>市场渠道建设；二是市场开发及服务团队建设；三是网络营销建设，优机股份将加强网络营销，通过“互联网+”和“大数据”思维塑造和优化商业模式，这种商业模式可以提高公司的竞争力和影响力，为公司将来进入的潜在定制零部件市场创造机会和平台</w:t>
      </w:r>
      <w:r>
        <w:t xml:space="preserve">。 </w:t>
      </w:r>
    </w:p>
    <w:p>
      <w:pPr>
        <w:pStyle w:val="6"/>
        <w:bidi w:val="0"/>
        <w:rPr>
          <w:rFonts w:hint="eastAsia"/>
        </w:rPr>
      </w:pPr>
      <w:r>
        <w:rPr>
          <w:rFonts w:hint="eastAsia"/>
        </w:rPr>
        <w:t>2、推行合同成本跟踪制</w:t>
      </w:r>
    </w:p>
    <w:p>
      <w:pPr>
        <w:ind w:firstLine="480" w:firstLineChars="200"/>
      </w:pPr>
      <w:r>
        <w:t>坚持将提高企业经济运行质量作为加强管理的立足点和归宿点。开展调查研究，总结经验教训，对直接影响经济效益或涉及全局的管理难题，组织力量重点进行破解。加强经济合同管理调整并明确职责，形成从授权、签约、履行、变更、结算、付款到纠纷处置完整的合同管理办法。</w:t>
      </w:r>
    </w:p>
    <w:p>
      <w:pPr>
        <w:pStyle w:val="6"/>
        <w:bidi w:val="0"/>
        <w:rPr>
          <w:rFonts w:hint="default"/>
          <w:lang w:val="en-US" w:eastAsia="zh-CN"/>
        </w:rPr>
      </w:pPr>
      <w:r>
        <w:rPr>
          <w:rFonts w:hint="eastAsia"/>
          <w:lang w:val="en-US" w:eastAsia="zh-CN"/>
        </w:rPr>
        <w:t>3</w:t>
      </w:r>
      <w:r>
        <w:rPr>
          <w:rFonts w:hint="eastAsia"/>
        </w:rPr>
        <w:t>、</w:t>
      </w:r>
      <w:r>
        <w:rPr>
          <w:rFonts w:hint="eastAsia"/>
          <w:lang w:val="en-US" w:eastAsia="zh-CN"/>
        </w:rPr>
        <w:t>重视质量监管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高度重视企业质量管理体系建设，将客户满意度建设上升到全新的高度来看待。</w:t>
      </w:r>
    </w:p>
    <w:p>
      <w:pPr>
        <w:pStyle w:val="6"/>
        <w:bidi w:val="0"/>
        <w:rPr>
          <w:rFonts w:hint="eastAsia"/>
          <w:lang w:val="en-US" w:eastAsia="zh-CN"/>
        </w:rPr>
      </w:pPr>
      <w:r>
        <w:rPr>
          <w:rFonts w:hint="eastAsia"/>
          <w:lang w:val="en-US" w:eastAsia="zh-CN"/>
        </w:rPr>
        <w:t>4、优化人才结构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培养和引进了各类管理人才和专业技术人才，涵盖多个专业，建立了一支由素质能力强的高层管理人员、执行力强的中层管理人员、创新能力强的设计人员、技术精和业务专的项目管理和工程技术人员组成的稳定团队。</w:t>
      </w:r>
    </w:p>
    <w:p>
      <w:pPr>
        <w:pStyle w:val="6"/>
        <w:bidi w:val="0"/>
        <w:rPr>
          <w:rFonts w:hint="eastAsia"/>
          <w:lang w:val="en-US" w:eastAsia="zh-CN"/>
        </w:rPr>
      </w:pPr>
      <w:r>
        <w:rPr>
          <w:rFonts w:hint="eastAsia"/>
          <w:lang w:val="en-US" w:eastAsia="zh-CN"/>
        </w:rPr>
        <w:t>5、改变营销理念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实施大客户战略，对客户质量和销售潜力进行有效评估，集中优势资源帮助客户优化战略、优化战术、提升客户的经营水平和运营效率，</w:t>
      </w:r>
      <w:r>
        <w:rPr>
          <w:rFonts w:hint="eastAsia"/>
          <w:color w:val="000000" w:themeColor="text1"/>
          <w:lang w:val="en-US" w:eastAsia="zh-CN"/>
          <w14:textFill>
            <w14:solidFill>
              <w14:schemeClr w14:val="tx1"/>
            </w14:solidFill>
          </w14:textFill>
        </w:rPr>
        <w:t>与客户建立长期、良好的合作关系。</w:t>
      </w:r>
    </w:p>
    <w:p>
      <w:pPr>
        <w:ind w:firstLine="480" w:firstLineChars="200"/>
      </w:pPr>
      <w:r>
        <w:rPr>
          <w:rFonts w:hint="eastAsia"/>
        </w:rPr>
        <w:t>（三）公司为实现未来发展目标将采取的措施</w:t>
      </w:r>
      <w:bookmarkEnd w:id="38"/>
      <w:bookmarkEnd w:id="39"/>
      <w:bookmarkEnd w:id="40"/>
      <w:bookmarkEnd w:id="41"/>
      <w:bookmarkEnd w:id="42"/>
      <w:bookmarkEnd w:id="43"/>
      <w:bookmarkEnd w:id="45"/>
    </w:p>
    <w:p>
      <w:pPr>
        <w:ind w:firstLine="480" w:firstLineChars="200"/>
        <w:outlineLvl w:val="2"/>
      </w:pPr>
      <w:r>
        <w:rPr>
          <w:rFonts w:hint="eastAsia"/>
        </w:rPr>
        <w:t>（一）经营目标</w:t>
      </w:r>
    </w:p>
    <w:p>
      <w:pPr>
        <w:ind w:firstLine="480" w:firstLineChars="200"/>
        <w:rPr>
          <w:rFonts w:hint="eastAsia" w:ascii="宋体" w:hAnsi="宋体"/>
        </w:rPr>
      </w:pPr>
      <w:r>
        <w:rPr>
          <w:rFonts w:hint="eastAsia" w:ascii="宋体" w:hAnsi="宋体"/>
        </w:rPr>
        <w:t>公司</w:t>
      </w:r>
      <w:r>
        <w:rPr>
          <w:rFonts w:hint="eastAsia" w:ascii="宋体" w:hAnsi="宋体"/>
          <w:lang w:val="en-US" w:eastAsia="zh-CN"/>
        </w:rPr>
        <w:t>以各类电子配件及</w:t>
      </w:r>
      <w:r>
        <w:rPr>
          <w:rFonts w:hint="eastAsia" w:ascii="宋体" w:hAnsi="宋体"/>
        </w:rPr>
        <w:t>产品</w:t>
      </w:r>
      <w:r>
        <w:rPr>
          <w:rFonts w:hint="eastAsia" w:ascii="宋体" w:hAnsi="宋体"/>
          <w:lang w:val="en-US" w:eastAsia="zh-CN"/>
        </w:rPr>
        <w:t>批发、销售为</w:t>
      </w:r>
      <w:r>
        <w:rPr>
          <w:rFonts w:hint="eastAsia" w:ascii="宋体" w:hAnsi="宋体"/>
        </w:rPr>
        <w:t>定位，在已进入的目标市场继续深入开拓，同时，开拓并进入更多新的细分</w:t>
      </w:r>
      <w:r>
        <w:rPr>
          <w:rFonts w:hint="eastAsia" w:ascii="宋体" w:hAnsi="宋体"/>
          <w:lang w:val="en-US" w:eastAsia="zh-CN"/>
        </w:rPr>
        <w:t>电子产品、</w:t>
      </w:r>
      <w:r>
        <w:rPr>
          <w:rFonts w:hint="eastAsia" w:ascii="宋体" w:hAnsi="宋体"/>
        </w:rPr>
        <w:t>零部件市场领域，并逐渐形成规模</w:t>
      </w:r>
      <w:r>
        <w:rPr>
          <w:rFonts w:hint="eastAsia" w:ascii="宋体" w:hAnsi="宋体"/>
          <w:lang w:eastAsia="zh-CN"/>
        </w:rPr>
        <w:t>，</w:t>
      </w:r>
      <w:r>
        <w:rPr>
          <w:rFonts w:hint="eastAsia" w:ascii="宋体" w:hAnsi="宋体"/>
          <w:lang w:val="en-US" w:eastAsia="zh-CN"/>
        </w:rPr>
        <w:t>并开拓外贸业务，开发海外渠道</w:t>
      </w:r>
      <w:r>
        <w:rPr>
          <w:rFonts w:hint="eastAsia" w:ascii="宋体" w:hAnsi="宋体"/>
        </w:rPr>
        <w:t>。</w:t>
      </w:r>
    </w:p>
    <w:p>
      <w:pPr>
        <w:ind w:firstLine="480" w:firstLineChars="200"/>
        <w:outlineLvl w:val="2"/>
      </w:pPr>
      <w:r>
        <w:rPr>
          <w:rFonts w:hint="eastAsia"/>
        </w:rPr>
        <w:t>（二）具体发展业务计划</w:t>
      </w:r>
    </w:p>
    <w:p>
      <w:pPr>
        <w:pStyle w:val="6"/>
        <w:bidi w:val="0"/>
        <w:rPr>
          <w:rFonts w:hint="eastAsia"/>
        </w:rPr>
      </w:pPr>
      <w:r>
        <w:rPr>
          <w:rFonts w:hint="eastAsia"/>
        </w:rPr>
        <w:t>1、</w:t>
      </w:r>
      <w:r>
        <w:rPr>
          <w:rFonts w:hint="eastAsia"/>
          <w:lang w:val="en-US" w:eastAsia="zh-CN"/>
        </w:rPr>
        <w:t>开拓市场渠道，稳固客户资源</w:t>
      </w:r>
      <w:r>
        <w:rPr>
          <w:rFonts w:hint="eastAsia"/>
        </w:rPr>
        <w:t xml:space="preserve"> </w:t>
      </w:r>
    </w:p>
    <w:p>
      <w:pPr>
        <w:ind w:firstLine="480" w:firstLineChars="200"/>
      </w:pPr>
      <w:r>
        <w:rPr>
          <w:rFonts w:hint="eastAsia"/>
        </w:rPr>
        <w:t>市场和客户开发是实现公司发展目标的首要工作，主要从以下几个方面进行：一是市场渠道建设，优化国际市场渠道建设，提高国际市场占比，继续完善澳洲及周边国家市场渠道建设，分步骤完成</w:t>
      </w:r>
      <w:r>
        <w:rPr>
          <w:rFonts w:hint="eastAsia"/>
          <w:lang w:val="en-US" w:eastAsia="zh-CN"/>
        </w:rPr>
        <w:t>海外</w:t>
      </w:r>
      <w:r>
        <w:rPr>
          <w:rFonts w:hint="eastAsia"/>
        </w:rPr>
        <w:t>市场渠道建设；二是市场开发及服务团队建设；三是网络营销建设，优机股份将加强网络营销，通过“互联网+”和“大数据”思维塑造和优化商业模式，这种商业模式可以提高公司的竞争力和影响力，为公司将来进入的潜在定制零部件市场创造机会和平台</w:t>
      </w:r>
      <w:r>
        <w:t xml:space="preserve">。 </w:t>
      </w:r>
    </w:p>
    <w:p>
      <w:pPr>
        <w:pStyle w:val="6"/>
        <w:bidi w:val="0"/>
        <w:rPr>
          <w:rFonts w:hint="eastAsia"/>
        </w:rPr>
      </w:pPr>
      <w:r>
        <w:rPr>
          <w:rFonts w:hint="eastAsia"/>
        </w:rPr>
        <w:t>2、推行合同成本跟踪制</w:t>
      </w:r>
    </w:p>
    <w:p>
      <w:pPr>
        <w:ind w:firstLine="480" w:firstLineChars="200"/>
      </w:pPr>
      <w:r>
        <w:t>坚持将提高企业经济运行质量作为加强管理的立足点和归宿点。开展调查研究，总结经验教训，对直接影响经济效益或涉及全局的管理难题，组织力量重点进行破解。加强经济合同管理调整并明确职责，形成从授权、签约、履行、变更、结算、付款到纠纷处置完整的合同管理办法。</w:t>
      </w:r>
    </w:p>
    <w:p>
      <w:pPr>
        <w:pStyle w:val="6"/>
        <w:bidi w:val="0"/>
        <w:rPr>
          <w:rFonts w:hint="eastAsia"/>
          <w:lang w:val="en-US" w:eastAsia="zh-CN"/>
        </w:rPr>
      </w:pPr>
      <w:r>
        <w:rPr>
          <w:rFonts w:hint="eastAsia"/>
          <w:lang w:val="en-US" w:eastAsia="zh-CN"/>
        </w:rPr>
        <w:t>3、优化人才结构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培养和引进了各类管理人才和专业技术人才，涵盖多个专业，建立了一支由素质能力强的高层管理人员、执行力强的中层管理人员、创新能力强的设计人员、技术精和业务专的项目管理和工程技术人员组成的稳定团队。</w:t>
      </w:r>
    </w:p>
    <w:p>
      <w:pPr>
        <w:pStyle w:val="6"/>
        <w:bidi w:val="0"/>
        <w:rPr>
          <w:rFonts w:hint="eastAsia"/>
          <w:lang w:val="en-US" w:eastAsia="zh-CN"/>
        </w:rPr>
      </w:pPr>
      <w:r>
        <w:rPr>
          <w:rFonts w:hint="eastAsia"/>
          <w:lang w:val="en-US" w:eastAsia="zh-CN"/>
        </w:rPr>
        <w:t>4、改变营销理念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实施大客户战略，对客户质量和销售潜力进行有效评估，集中优势资源帮助客户优化战略、优化战术、提升客户的经营水平和运营效率，</w:t>
      </w:r>
      <w:r>
        <w:rPr>
          <w:rFonts w:hint="eastAsia"/>
          <w:color w:val="000000" w:themeColor="text1"/>
          <w:lang w:val="en-US" w:eastAsia="zh-CN"/>
          <w14:textFill>
            <w14:solidFill>
              <w14:schemeClr w14:val="tx1"/>
            </w14:solidFill>
          </w14:textFill>
        </w:rPr>
        <w:t>与客户建立长期、良好的合作关系。</w:t>
      </w:r>
    </w:p>
    <w:p>
      <w:pPr>
        <w:ind w:firstLine="480" w:firstLineChars="200"/>
        <w:outlineLvl w:val="2"/>
      </w:pPr>
      <w:r>
        <w:rPr>
          <w:rFonts w:hint="eastAsia"/>
        </w:rPr>
        <w:t>（三）公司为实现未来发展目标将采取的措施</w:t>
      </w:r>
    </w:p>
    <w:p>
      <w:pPr>
        <w:pStyle w:val="6"/>
        <w:bidi w:val="0"/>
        <w:rPr>
          <w:rFonts w:hint="eastAsia"/>
          <w:lang w:val="en-US" w:eastAsia="zh-CN"/>
        </w:rPr>
      </w:pPr>
      <w:r>
        <w:rPr>
          <w:rFonts w:hint="eastAsia"/>
          <w:lang w:val="en-US" w:eastAsia="zh-CN"/>
        </w:rPr>
        <w:t>1、业务模式方面</w:t>
      </w:r>
    </w:p>
    <w:p>
      <w:pPr>
        <w:ind w:firstLine="480" w:firstLineChars="200"/>
      </w:pPr>
      <w:r>
        <w:rPr>
          <w:rFonts w:hint="eastAsia"/>
        </w:rPr>
        <w:t>随着社会经济的发展和市场的逐渐成熟，企业对</w:t>
      </w:r>
      <w:r>
        <w:rPr>
          <w:rFonts w:hint="eastAsia"/>
          <w:lang w:val="en-US" w:eastAsia="zh-CN"/>
        </w:rPr>
        <w:t>项目的承接</w:t>
      </w:r>
      <w:r>
        <w:rPr>
          <w:rFonts w:hint="eastAsia"/>
        </w:rPr>
        <w:t>模式的选择已经转变为多元化的方式，企业越来越重视</w:t>
      </w:r>
      <w:r>
        <w:rPr>
          <w:rFonts w:hint="eastAsia"/>
          <w:lang w:val="en-US" w:eastAsia="zh-CN"/>
        </w:rPr>
        <w:t>承接</w:t>
      </w:r>
      <w:r>
        <w:rPr>
          <w:rFonts w:hint="eastAsia"/>
        </w:rPr>
        <w:t>模式的效率、成本与风险控制。通过以上对各种</w:t>
      </w:r>
      <w:r>
        <w:rPr>
          <w:rFonts w:hint="eastAsia"/>
          <w:lang w:val="en-US" w:eastAsia="zh-CN"/>
        </w:rPr>
        <w:t>承接</w:t>
      </w:r>
      <w:r>
        <w:rPr>
          <w:rFonts w:hint="eastAsia"/>
        </w:rPr>
        <w:t>模式的优劣分析和比较，不同的销售模式具有不同的特点和适用性，不同的</w:t>
      </w:r>
      <w:r>
        <w:rPr>
          <w:rFonts w:hint="eastAsia"/>
          <w:lang w:val="en-US" w:eastAsia="zh-CN"/>
        </w:rPr>
        <w:t>合作</w:t>
      </w:r>
      <w:r>
        <w:rPr>
          <w:rFonts w:hint="eastAsia"/>
        </w:rPr>
        <w:t>主体在不同的发展阶段针对不同市场情况，可以采取多种</w:t>
      </w:r>
      <w:r>
        <w:rPr>
          <w:rFonts w:hint="eastAsia"/>
          <w:lang w:val="en-US" w:eastAsia="zh-CN"/>
        </w:rPr>
        <w:t>承接</w:t>
      </w:r>
      <w:r>
        <w:rPr>
          <w:rFonts w:hint="eastAsia"/>
        </w:rPr>
        <w:t>模式并存的方式。但应注意各种模式的侧重点和所占比例是否合理，力争把风险降到最低。</w:t>
      </w:r>
    </w:p>
    <w:p>
      <w:pPr>
        <w:ind w:firstLine="480" w:firstLineChars="200"/>
      </w:pPr>
      <w:r>
        <w:rPr>
          <w:rFonts w:hint="eastAsia"/>
        </w:rPr>
        <w:t>未来公司会继续强化“</w:t>
      </w:r>
      <w:r>
        <w:rPr>
          <w:rFonts w:hint="eastAsia"/>
          <w:lang w:val="en-US" w:eastAsia="zh-CN"/>
        </w:rPr>
        <w:t>曼城电子</w:t>
      </w:r>
      <w:r>
        <w:rPr>
          <w:rFonts w:hint="eastAsia"/>
        </w:rPr>
        <w:t>”的品牌效应，以自身品牌影响力拉动公司的业务发展。采取服务跟进、售后回访、品牌宣传等措施来加大公司在</w:t>
      </w:r>
      <w:r>
        <w:rPr>
          <w:rFonts w:hint="eastAsia"/>
          <w:lang w:val="en-US" w:eastAsia="zh-CN"/>
        </w:rPr>
        <w:t>淄博</w:t>
      </w:r>
      <w:r>
        <w:rPr>
          <w:rFonts w:hint="eastAsia"/>
        </w:rPr>
        <w:t>地区的品牌影响力，同时以自身品牌维系客户，增强客户对于公司品牌的认可度，从而拉动公司业务发展。</w:t>
      </w:r>
    </w:p>
    <w:p>
      <w:pPr>
        <w:pStyle w:val="6"/>
        <w:bidi w:val="0"/>
        <w:rPr>
          <w:rFonts w:hint="eastAsia"/>
          <w:lang w:val="en-US" w:eastAsia="zh-CN"/>
        </w:rPr>
      </w:pPr>
      <w:r>
        <w:rPr>
          <w:rFonts w:hint="eastAsia"/>
          <w:lang w:val="en-US" w:eastAsia="zh-CN"/>
        </w:rPr>
        <w:t>2、完善组织结构及规范管理</w:t>
      </w:r>
    </w:p>
    <w:p>
      <w:pPr>
        <w:ind w:firstLine="480" w:firstLineChars="200"/>
      </w:pPr>
      <w:r>
        <w:rPr>
          <w:rFonts w:hint="eastAsia"/>
        </w:rPr>
        <w:t>公司将充分利用本次挂牌的契机，按照上市公司规范运作的要求，以加强组织结构建设为重点，进一步完善法人治理结构。</w:t>
      </w:r>
    </w:p>
    <w:p>
      <w:pPr>
        <w:ind w:firstLine="480" w:firstLineChars="200"/>
        <w:rPr>
          <w:rFonts w:hint="eastAsia"/>
        </w:rPr>
      </w:pPr>
      <w:r>
        <w:rPr>
          <w:rFonts w:hint="eastAsia"/>
        </w:rPr>
        <w:t>未来公司将进一步完善内部管理制度，强化各项制度的执行工作，并通过激励约束机制增强员工归属感，调动员工积极性，利用人力资源优势，努力形成开放向上的企业文化，促进公司规范运作和稳健发展。</w:t>
      </w:r>
    </w:p>
    <w:p>
      <w:pPr>
        <w:pStyle w:val="6"/>
        <w:bidi w:val="0"/>
        <w:rPr>
          <w:rFonts w:hint="eastAsia"/>
          <w:lang w:val="en-US" w:eastAsia="zh-CN"/>
        </w:rPr>
      </w:pPr>
      <w:r>
        <w:rPr>
          <w:rFonts w:hint="eastAsia"/>
          <w:lang w:val="en-US" w:eastAsia="zh-CN"/>
        </w:rPr>
        <w:t>3、人才培养方面</w:t>
      </w:r>
    </w:p>
    <w:p>
      <w:pPr>
        <w:ind w:firstLine="480" w:firstLineChars="200"/>
      </w:pPr>
      <w:r>
        <w:rPr>
          <w:rFonts w:hint="eastAsia"/>
        </w:rPr>
        <w:t xml:space="preserve">随着公司生产经营规模持续扩大，公司对专业技术人才的需求日益强烈，特别是团队建设更需要具有全局性、战略性。未来，公司将扩大招聘力度，积极招揽优秀的技术和管理人才，不断提高员工薪酬水平，加大员工激励，提供更多的专业技能培训，夯实员工队伍，提高凝聚力，提高员工整体素质和专业能力，加强老技术人员的知识更新和新的技术人员的专业培训，培养一批高水平和高素质的管理人才队伍。不拘一格、不拘形式，建立健全人才引进的培训制度，大力提高人才综合素质，形成老中青、产学研相结合的人才体制结构，实施人才带动技术发展战略，为企业和行业建设服务。   </w:t>
      </w:r>
    </w:p>
    <w:p>
      <w:pPr>
        <w:pStyle w:val="6"/>
        <w:bidi w:val="0"/>
        <w:rPr>
          <w:rFonts w:hint="eastAsia"/>
          <w:lang w:val="en-US" w:eastAsia="zh-CN"/>
        </w:rPr>
      </w:pPr>
      <w:r>
        <w:rPr>
          <w:rFonts w:hint="eastAsia"/>
          <w:lang w:val="en-US" w:eastAsia="zh-CN"/>
        </w:rPr>
        <w:t>4、文化建设</w:t>
      </w:r>
    </w:p>
    <w:p>
      <w:pPr>
        <w:ind w:firstLine="480" w:firstLineChars="200"/>
      </w:pPr>
      <w:r>
        <w:rPr>
          <w:rFonts w:hint="eastAsia"/>
        </w:rPr>
        <w:t>建立多元文化，强化和塑造不同发展阶段的新文化；打造以“客户、员工、高效、诚信”为准绳、以客户为核心、以业绩为导向的组织文化；倡导“员工关怀”活动，增强员工归属感。</w:t>
      </w:r>
    </w:p>
    <w:p>
      <w:pPr>
        <w:pStyle w:val="6"/>
        <w:bidi w:val="0"/>
        <w:rPr>
          <w:rFonts w:hint="eastAsia"/>
          <w:lang w:val="en-US" w:eastAsia="zh-CN"/>
        </w:rPr>
      </w:pPr>
      <w:r>
        <w:rPr>
          <w:rFonts w:hint="eastAsia"/>
          <w:lang w:val="en-US" w:eastAsia="zh-CN"/>
        </w:rPr>
        <w:t>5、加强融资</w:t>
      </w:r>
    </w:p>
    <w:p>
      <w:pPr>
        <w:ind w:firstLine="480" w:firstLineChars="200"/>
      </w:pPr>
      <w:r>
        <w:rPr>
          <w:rFonts w:hint="eastAsia"/>
        </w:rPr>
        <w:t xml:space="preserve">公司依照发展运营需要，将采取多元化的筹资方式，来满足不同时期的各项发展规划的资金需求，推动公司持续、快速、健康发展。 </w:t>
      </w:r>
    </w:p>
    <w:p>
      <w:r>
        <w:rPr>
          <w:rFonts w:hint="eastAsia"/>
        </w:rPr>
        <w:t xml:space="preserve">    （1）重点做好本次齐鲁股权交易中心挂牌工作，本次挂牌完成后，公司将视生产经营需要，积极利用资本市场的直接融资功能，借助“齐鲁股权交易中心”融资平台“小额、多次、快速、低成本”的特点，通过股权增发、私募债券的方式获取下一步发展所需的资金。</w:t>
      </w:r>
    </w:p>
    <w:p>
      <w:r>
        <w:rPr>
          <w:rFonts w:hint="eastAsia"/>
        </w:rPr>
        <w:t xml:space="preserve">    （2）公司将继续与各银行保持密切合作，利用银行贷款等间接融资方式满足企业经营发展需要。</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rPr>
      </w:pPr>
      <w:r>
        <w:rPr>
          <w:rFonts w:hint="eastAsia"/>
        </w:rPr>
        <w:t>（3）制订和完善融资发展战略，将有计划、有步骤地引进包括战略投资机构和公司上下游企业在内的战略投资者，积极加快与资本市场接轨的步伐，为登陆主板市场打下坚实基础。</w:t>
      </w:r>
      <w:bookmarkEnd w:id="44"/>
    </w:p>
    <w:p>
      <w:pPr>
        <w:pStyle w:val="2"/>
        <w:jc w:val="center"/>
        <w:rPr>
          <w:rFonts w:ascii="仿宋" w:hAnsi="仿宋" w:eastAsia="仿宋" w:cs="仿宋"/>
          <w:szCs w:val="32"/>
        </w:rPr>
      </w:pPr>
      <w:bookmarkStart w:id="46" w:name="_Toc24213"/>
      <w:r>
        <w:rPr>
          <w:rFonts w:hint="eastAsia"/>
        </w:rPr>
        <w:t>第三章 本次挂牌的有关机构</w:t>
      </w:r>
      <w:bookmarkEnd w:id="46"/>
    </w:p>
    <w:p>
      <w:pPr>
        <w:ind w:firstLine="480"/>
        <w:outlineLvl w:val="1"/>
        <w:rPr>
          <w:rFonts w:ascii="宋体" w:hAnsi="宋体"/>
          <w:b/>
          <w:bCs/>
          <w:sz w:val="28"/>
          <w:szCs w:val="28"/>
        </w:rPr>
      </w:pPr>
      <w:bookmarkStart w:id="47" w:name="_Toc1266"/>
      <w:r>
        <w:rPr>
          <w:rFonts w:hint="eastAsia" w:ascii="宋体" w:hAnsi="宋体"/>
          <w:b/>
          <w:bCs/>
          <w:sz w:val="28"/>
          <w:szCs w:val="28"/>
        </w:rPr>
        <w:t>一、推荐机构</w:t>
      </w:r>
      <w:bookmarkEnd w:id="47"/>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hint="default" w:ascii="宋体" w:hAnsi="宋体" w:eastAsia="宋体"/>
          <w:lang w:val="en-US" w:eastAsia="zh-CN"/>
        </w:rPr>
      </w:pPr>
      <w:r>
        <w:rPr>
          <w:rFonts w:hint="eastAsia" w:ascii="宋体" w:hAnsi="宋体"/>
        </w:rPr>
        <w:t xml:space="preserve">推荐经办人： </w:t>
      </w:r>
      <w:r>
        <w:rPr>
          <w:rFonts w:hint="eastAsia" w:ascii="宋体" w:hAnsi="宋体"/>
          <w:lang w:val="en-US" w:eastAsia="zh-CN"/>
        </w:rPr>
        <w:t>于明亮</w:t>
      </w:r>
      <w:r>
        <w:rPr>
          <w:rFonts w:hint="eastAsia" w:ascii="宋体" w:hAnsi="宋体"/>
          <w:lang w:eastAsia="zh-CN"/>
        </w:rPr>
        <w:t>、</w:t>
      </w:r>
      <w:r>
        <w:rPr>
          <w:rFonts w:hint="eastAsia" w:ascii="宋体" w:hAnsi="宋体"/>
          <w:lang w:val="en-US" w:eastAsia="zh-CN"/>
        </w:rPr>
        <w:t>李姗姗</w:t>
      </w:r>
    </w:p>
    <w:p>
      <w:pPr>
        <w:ind w:firstLine="480"/>
        <w:jc w:val="left"/>
        <w:rPr>
          <w:rFonts w:ascii="宋体" w:hAnsi="宋体"/>
        </w:rPr>
      </w:pPr>
      <w:r>
        <w:rPr>
          <w:rFonts w:hint="eastAsia" w:ascii="宋体" w:hAnsi="宋体"/>
        </w:rPr>
        <w:t>电    话：0535-6321200</w:t>
      </w:r>
    </w:p>
    <w:p>
      <w:pPr>
        <w:ind w:firstLine="480"/>
        <w:outlineLvl w:val="1"/>
        <w:rPr>
          <w:rFonts w:ascii="宋体" w:hAnsi="宋体"/>
          <w:b/>
          <w:bCs/>
          <w:sz w:val="28"/>
          <w:szCs w:val="28"/>
          <w:highlight w:val="none"/>
        </w:rPr>
      </w:pPr>
      <w:bookmarkStart w:id="48" w:name="_Toc10719"/>
      <w:r>
        <w:rPr>
          <w:rFonts w:hint="eastAsia" w:ascii="宋体" w:hAnsi="宋体"/>
          <w:b/>
          <w:bCs/>
          <w:sz w:val="28"/>
          <w:szCs w:val="28"/>
          <w:highlight w:val="none"/>
        </w:rPr>
        <w:t>二、审计机构</w:t>
      </w:r>
      <w:bookmarkEnd w:id="48"/>
    </w:p>
    <w:p>
      <w:pPr>
        <w:ind w:firstLine="480"/>
        <w:rPr>
          <w:rFonts w:ascii="宋体" w:hAnsi="宋体"/>
        </w:rPr>
      </w:pPr>
      <w:r>
        <w:rPr>
          <w:rFonts w:hint="eastAsia" w:ascii="宋体" w:hAnsi="宋体"/>
        </w:rPr>
        <w:t>名    称：潍坊信达有限责任会计师事务所</w:t>
      </w:r>
    </w:p>
    <w:p>
      <w:pPr>
        <w:ind w:firstLine="480"/>
        <w:rPr>
          <w:rFonts w:ascii="宋体" w:hAnsi="宋体"/>
        </w:rPr>
      </w:pPr>
      <w:r>
        <w:rPr>
          <w:rFonts w:hint="eastAsia" w:ascii="宋体" w:hAnsi="宋体"/>
        </w:rPr>
        <w:t>办公地址：山东省潍坊市奎文区丹桂里金街1号楼2单元1319室</w:t>
      </w:r>
    </w:p>
    <w:p>
      <w:pPr>
        <w:ind w:firstLine="480"/>
        <w:rPr>
          <w:rFonts w:ascii="宋体" w:hAnsi="宋体"/>
        </w:rPr>
      </w:pPr>
      <w:r>
        <w:rPr>
          <w:rFonts w:hint="eastAsia" w:ascii="宋体" w:hAnsi="宋体"/>
        </w:rPr>
        <w:t xml:space="preserve">负 责 人：任春云         </w:t>
      </w:r>
    </w:p>
    <w:p>
      <w:pPr>
        <w:ind w:firstLine="480"/>
        <w:rPr>
          <w:rFonts w:ascii="宋体" w:hAnsi="宋体"/>
        </w:rPr>
      </w:pPr>
      <w:r>
        <w:rPr>
          <w:rFonts w:hint="eastAsia" w:ascii="宋体" w:hAnsi="宋体"/>
        </w:rPr>
        <w:t>经办注册会计师：王彦，王洪军</w:t>
      </w:r>
    </w:p>
    <w:p>
      <w:pPr>
        <w:ind w:firstLine="480"/>
        <w:rPr>
          <w:rFonts w:ascii="宋体" w:hAnsi="宋体"/>
        </w:rPr>
      </w:pPr>
      <w:r>
        <w:rPr>
          <w:rFonts w:hint="eastAsia" w:ascii="宋体" w:hAnsi="宋体"/>
        </w:rPr>
        <w:t>电    话：0536-8297610</w:t>
      </w:r>
    </w:p>
    <w:p>
      <w:pPr>
        <w:ind w:firstLine="480"/>
        <w:outlineLvl w:val="1"/>
        <w:rPr>
          <w:rFonts w:ascii="宋体" w:hAnsi="宋体"/>
          <w:sz w:val="28"/>
          <w:szCs w:val="28"/>
        </w:rPr>
      </w:pPr>
      <w:bookmarkStart w:id="49" w:name="_Toc28216"/>
      <w:r>
        <w:rPr>
          <w:rFonts w:hint="eastAsia" w:ascii="宋体" w:hAnsi="宋体"/>
          <w:b/>
          <w:bCs/>
          <w:sz w:val="28"/>
          <w:szCs w:val="28"/>
        </w:rPr>
        <w:t>三、股权登记托管机构</w:t>
      </w:r>
      <w:bookmarkEnd w:id="49"/>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 xml:space="preserve">注册地址：山东省淄博市张店区人民西路228号金融大厦3、4、20、21、22层 </w:t>
      </w:r>
    </w:p>
    <w:p>
      <w:pPr>
        <w:ind w:firstLine="480"/>
        <w:rPr>
          <w:rFonts w:ascii="宋体" w:hAnsi="宋体"/>
        </w:rPr>
      </w:pPr>
      <w:r>
        <w:rPr>
          <w:rFonts w:hint="eastAsia" w:ascii="宋体" w:hAnsi="宋体"/>
        </w:rPr>
        <w:t>电    话：0533-277</w:t>
      </w:r>
      <w:r>
        <w:rPr>
          <w:rFonts w:ascii="宋体" w:hAnsi="宋体"/>
        </w:rPr>
        <w:t>8470</w:t>
      </w:r>
    </w:p>
    <w:p>
      <w:pPr>
        <w:ind w:firstLine="480"/>
        <w:rPr>
          <w:rFonts w:ascii="仿宋" w:hAnsi="仿宋" w:eastAsia="仿宋" w:cs="仿宋"/>
          <w:sz w:val="32"/>
          <w:szCs w:val="32"/>
        </w:rPr>
      </w:pPr>
      <w:r>
        <w:rPr>
          <w:rFonts w:hint="eastAsia" w:ascii="宋体" w:hAnsi="宋体"/>
        </w:rPr>
        <w:t>传    真：0533-277</w:t>
      </w:r>
      <w:r>
        <w:rPr>
          <w:rFonts w:ascii="宋体" w:hAnsi="宋体"/>
        </w:rPr>
        <w:t>8470</w:t>
      </w:r>
    </w:p>
    <w:p>
      <w:pPr>
        <w:rPr>
          <w:rFonts w:ascii="仿宋" w:hAnsi="仿宋" w:eastAsia="仿宋" w:cs="仿宋"/>
          <w:sz w:val="32"/>
          <w:szCs w:val="32"/>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635</wp:posOffset>
              </wp:positionV>
              <wp:extent cx="488950" cy="1828800"/>
              <wp:effectExtent l="0" t="0" r="6350" b="14605"/>
              <wp:wrapNone/>
              <wp:docPr id="2" name="文本框 2"/>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5pt;margin-top:0.05pt;height:144pt;width:38.5pt;mso-position-horizontal-relative:margin;z-index:251659264;mso-width-relative:page;mso-height-relative:page;" filled="f" stroked="f" coordsize="21600,21600" o:gfxdata="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gOaFfWAAAACAEAAA8AAAAAAAAAAQAgAAAAIgAAAGRycy9kb3ducmV2LnhtbFBL&#10;AQIUABQAAAAIAIdO4kDBOpYcMQIAAFYEAAAOAAAAAAAAAAEAIAAAACUBAABkcnMvZTJvRG9jLnht&#10;bFBLBQYAAAAABgAGAFkBAADIBQAAAAA=&#10;">
              <v:fill on="f" focussize="0,0"/>
              <v:stroke on="f" weight="0.5pt"/>
              <v:imagedata o:title=""/>
              <o:lock v:ext="edit" aspectratio="f"/>
              <v:textbox inset="0mm,0mm,0mm,0mm" style="mso-fit-shape-to-text:t;">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烟台瀚永投资有限公司                                                      挂牌转让说明书摘要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2817D"/>
    <w:multiLevelType w:val="singleLevel"/>
    <w:tmpl w:val="3CC2817D"/>
    <w:lvl w:ilvl="0" w:tentative="0">
      <w:start w:val="1"/>
      <w:numFmt w:val="decimal"/>
      <w:suff w:val="nothing"/>
      <w:lvlText w:val="%1、"/>
      <w:lvlJc w:val="left"/>
    </w:lvl>
  </w:abstractNum>
  <w:abstractNum w:abstractNumId="1">
    <w:nsid w:val="59F81CD7"/>
    <w:multiLevelType w:val="singleLevel"/>
    <w:tmpl w:val="59F81CD7"/>
    <w:lvl w:ilvl="0" w:tentative="0">
      <w:start w:val="2"/>
      <w:numFmt w:val="chineseCounting"/>
      <w:suff w:val="nothing"/>
      <w:lvlText w:val="（%1）"/>
      <w:lvlJc w:val="left"/>
    </w:lvl>
  </w:abstractNum>
  <w:abstractNum w:abstractNumId="2">
    <w:nsid w:val="5A0BE1DE"/>
    <w:multiLevelType w:val="singleLevel"/>
    <w:tmpl w:val="5A0BE1D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B"/>
    <w:rsid w:val="0003617F"/>
    <w:rsid w:val="000457D6"/>
    <w:rsid w:val="00055162"/>
    <w:rsid w:val="00076722"/>
    <w:rsid w:val="00077EEA"/>
    <w:rsid w:val="000A3763"/>
    <w:rsid w:val="000E5D50"/>
    <w:rsid w:val="000F6BEC"/>
    <w:rsid w:val="001272BF"/>
    <w:rsid w:val="0017622D"/>
    <w:rsid w:val="001851D9"/>
    <w:rsid w:val="00186461"/>
    <w:rsid w:val="00187174"/>
    <w:rsid w:val="001E0B5F"/>
    <w:rsid w:val="00270385"/>
    <w:rsid w:val="002879A6"/>
    <w:rsid w:val="003070D4"/>
    <w:rsid w:val="00310354"/>
    <w:rsid w:val="00326182"/>
    <w:rsid w:val="00344E1A"/>
    <w:rsid w:val="00346960"/>
    <w:rsid w:val="00354DC9"/>
    <w:rsid w:val="00367382"/>
    <w:rsid w:val="00390064"/>
    <w:rsid w:val="003B30D7"/>
    <w:rsid w:val="003D5BCE"/>
    <w:rsid w:val="003E77D6"/>
    <w:rsid w:val="00446A47"/>
    <w:rsid w:val="004C18B7"/>
    <w:rsid w:val="004C1CBF"/>
    <w:rsid w:val="004E4ADD"/>
    <w:rsid w:val="0051639C"/>
    <w:rsid w:val="00527BFA"/>
    <w:rsid w:val="00532F3E"/>
    <w:rsid w:val="00564886"/>
    <w:rsid w:val="005A3BD9"/>
    <w:rsid w:val="005B4E9B"/>
    <w:rsid w:val="00604CD3"/>
    <w:rsid w:val="00611CCD"/>
    <w:rsid w:val="00621C1E"/>
    <w:rsid w:val="00630E37"/>
    <w:rsid w:val="0063650B"/>
    <w:rsid w:val="00652E61"/>
    <w:rsid w:val="006919CB"/>
    <w:rsid w:val="006D10AA"/>
    <w:rsid w:val="006D4494"/>
    <w:rsid w:val="006F2A51"/>
    <w:rsid w:val="0072035D"/>
    <w:rsid w:val="007E7F60"/>
    <w:rsid w:val="007F4589"/>
    <w:rsid w:val="00802380"/>
    <w:rsid w:val="00842F11"/>
    <w:rsid w:val="00857287"/>
    <w:rsid w:val="00866DFE"/>
    <w:rsid w:val="008B1D0C"/>
    <w:rsid w:val="008D1648"/>
    <w:rsid w:val="008F5514"/>
    <w:rsid w:val="00954BFB"/>
    <w:rsid w:val="00982977"/>
    <w:rsid w:val="00984B8F"/>
    <w:rsid w:val="009A54AB"/>
    <w:rsid w:val="009D03AA"/>
    <w:rsid w:val="00A126B9"/>
    <w:rsid w:val="00A37082"/>
    <w:rsid w:val="00B00450"/>
    <w:rsid w:val="00B043A0"/>
    <w:rsid w:val="00B17078"/>
    <w:rsid w:val="00B456C3"/>
    <w:rsid w:val="00B5412A"/>
    <w:rsid w:val="00B90B34"/>
    <w:rsid w:val="00C058F4"/>
    <w:rsid w:val="00C6536B"/>
    <w:rsid w:val="00C840AA"/>
    <w:rsid w:val="00CF2560"/>
    <w:rsid w:val="00CF55ED"/>
    <w:rsid w:val="00CF5FD4"/>
    <w:rsid w:val="00D1230C"/>
    <w:rsid w:val="00D24DE9"/>
    <w:rsid w:val="00D43AA2"/>
    <w:rsid w:val="00D507B3"/>
    <w:rsid w:val="00D7306C"/>
    <w:rsid w:val="00D77C16"/>
    <w:rsid w:val="00E101A1"/>
    <w:rsid w:val="00E12641"/>
    <w:rsid w:val="00E126BD"/>
    <w:rsid w:val="00E9510B"/>
    <w:rsid w:val="00EA7AB7"/>
    <w:rsid w:val="00EC5CB1"/>
    <w:rsid w:val="00F11DBC"/>
    <w:rsid w:val="00F13BE6"/>
    <w:rsid w:val="015D5EBB"/>
    <w:rsid w:val="06917D50"/>
    <w:rsid w:val="0B0A14A2"/>
    <w:rsid w:val="0D8F78D5"/>
    <w:rsid w:val="0DC55A5C"/>
    <w:rsid w:val="0E1D4990"/>
    <w:rsid w:val="0F406E33"/>
    <w:rsid w:val="0F876D89"/>
    <w:rsid w:val="14932E38"/>
    <w:rsid w:val="17A961DB"/>
    <w:rsid w:val="1A523845"/>
    <w:rsid w:val="1F785DBD"/>
    <w:rsid w:val="21FF013A"/>
    <w:rsid w:val="24AA58CC"/>
    <w:rsid w:val="27186A40"/>
    <w:rsid w:val="27614DC9"/>
    <w:rsid w:val="2C0D4202"/>
    <w:rsid w:val="316C2956"/>
    <w:rsid w:val="460F7809"/>
    <w:rsid w:val="4644478D"/>
    <w:rsid w:val="469022A7"/>
    <w:rsid w:val="4AD56418"/>
    <w:rsid w:val="4AE66FAB"/>
    <w:rsid w:val="4C443965"/>
    <w:rsid w:val="53B20807"/>
    <w:rsid w:val="55A94E7F"/>
    <w:rsid w:val="55B72FCB"/>
    <w:rsid w:val="5DB05317"/>
    <w:rsid w:val="618810E8"/>
    <w:rsid w:val="659642BC"/>
    <w:rsid w:val="665744AA"/>
    <w:rsid w:val="6C6F083F"/>
    <w:rsid w:val="6EEA4F1D"/>
    <w:rsid w:val="73A91DCB"/>
    <w:rsid w:val="744F3C17"/>
    <w:rsid w:val="77531126"/>
    <w:rsid w:val="7CB57BC0"/>
    <w:rsid w:val="7CE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paragraph" w:styleId="3">
    <w:name w:val="heading 2"/>
    <w:basedOn w:val="1"/>
    <w:next w:val="1"/>
    <w:qFormat/>
    <w:uiPriority w:val="0"/>
    <w:pPr>
      <w:keepNext/>
      <w:keepLines/>
      <w:spacing w:before="20" w:after="20" w:line="413" w:lineRule="auto"/>
      <w:ind w:left="200" w:leftChars="200"/>
      <w:outlineLvl w:val="1"/>
    </w:pPr>
    <w:rPr>
      <w:rFonts w:ascii="Arial" w:hAnsi="Arial"/>
      <w:b/>
      <w:sz w:val="28"/>
    </w:rPr>
  </w:style>
  <w:style w:type="paragraph" w:styleId="4">
    <w:name w:val="heading 3"/>
    <w:basedOn w:val="1"/>
    <w:next w:val="1"/>
    <w:link w:val="20"/>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unhideWhenUsed/>
    <w:qFormat/>
    <w:uiPriority w:val="99"/>
    <w:pPr>
      <w:spacing w:after="120"/>
      <w:ind w:left="420" w:leftChars="200"/>
    </w:pPr>
  </w:style>
  <w:style w:type="paragraph" w:styleId="7">
    <w:name w:val="Balloon Text"/>
    <w:basedOn w:val="1"/>
    <w:link w:val="17"/>
    <w:qFormat/>
    <w:uiPriority w:val="0"/>
    <w:pPr>
      <w:spacing w:line="240" w:lineRule="auto"/>
    </w:pPr>
    <w:rPr>
      <w:sz w:val="18"/>
      <w:szCs w:val="18"/>
    </w:rPr>
  </w:style>
  <w:style w:type="paragraph" w:styleId="8">
    <w:name w:val="footer"/>
    <w:basedOn w:val="1"/>
    <w:link w:val="22"/>
    <w:qFormat/>
    <w:uiPriority w:val="0"/>
    <w:pPr>
      <w:tabs>
        <w:tab w:val="center" w:pos="4153"/>
        <w:tab w:val="right" w:pos="8306"/>
      </w:tabs>
      <w:snapToGrid w:val="0"/>
      <w:spacing w:line="240" w:lineRule="auto"/>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character" w:styleId="14">
    <w:name w:val="Hyperlink"/>
    <w:qFormat/>
    <w:uiPriority w:val="99"/>
    <w:rPr>
      <w:color w:val="0000FF"/>
      <w:u w:val="single"/>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7">
    <w:name w:val="批注框文本 字符"/>
    <w:link w:val="7"/>
    <w:qFormat/>
    <w:uiPriority w:val="0"/>
    <w:rPr>
      <w:kern w:val="2"/>
      <w:sz w:val="18"/>
      <w:szCs w:val="18"/>
    </w:rPr>
  </w:style>
  <w:style w:type="paragraph" w:customStyle="1" w:styleId="18">
    <w:name w:val="修订1"/>
    <w:hidden/>
    <w:unhideWhenUsed/>
    <w:qFormat/>
    <w:uiPriority w:val="99"/>
    <w:rPr>
      <w:rFonts w:ascii="Times New Roman" w:hAnsi="Times New Roman" w:eastAsia="宋体" w:cs="Times New Roman"/>
      <w:kern w:val="2"/>
      <w:sz w:val="24"/>
      <w:szCs w:val="24"/>
      <w:lang w:val="en-US" w:eastAsia="zh-CN" w:bidi="ar-SA"/>
    </w:rPr>
  </w:style>
  <w:style w:type="paragraph" w:styleId="19">
    <w:name w:val="List Paragraph"/>
    <w:basedOn w:val="1"/>
    <w:qFormat/>
    <w:uiPriority w:val="99"/>
    <w:pPr>
      <w:ind w:firstLine="420" w:firstLineChars="200"/>
    </w:pPr>
  </w:style>
  <w:style w:type="character" w:customStyle="1" w:styleId="20">
    <w:name w:val="标题 3 字符"/>
    <w:link w:val="4"/>
    <w:qFormat/>
    <w:uiPriority w:val="0"/>
    <w:rPr>
      <w:b/>
      <w:bCs/>
      <w:kern w:val="2"/>
      <w:sz w:val="32"/>
      <w:szCs w:val="32"/>
    </w:rPr>
  </w:style>
  <w:style w:type="character" w:customStyle="1" w:styleId="21">
    <w:name w:val="页眉 字符"/>
    <w:link w:val="9"/>
    <w:qFormat/>
    <w:uiPriority w:val="0"/>
    <w:rPr>
      <w:kern w:val="2"/>
      <w:sz w:val="18"/>
      <w:szCs w:val="18"/>
    </w:rPr>
  </w:style>
  <w:style w:type="character" w:customStyle="1" w:styleId="22">
    <w:name w:val="页脚 字符"/>
    <w:link w:val="8"/>
    <w:qFormat/>
    <w:uiPriority w:val="0"/>
    <w:rPr>
      <w:kern w:val="2"/>
      <w:sz w:val="18"/>
      <w:szCs w:val="18"/>
    </w:rPr>
  </w:style>
  <w:style w:type="character" w:customStyle="1" w:styleId="23">
    <w:name w:val="font4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淄博曼城电子商务有限公司股权架构图</a:t>
            </a:r>
            <a:endParaRPr b="1">
              <a:solidFill>
                <a:sysClr val="windowText" lastClr="000000"/>
              </a:solidFill>
            </a:endParaRPr>
          </a:p>
        </c:rich>
      </c:tx>
      <c:layout/>
      <c:overlay val="0"/>
      <c:spPr>
        <a:noFill/>
        <a:ln>
          <a:noFill/>
        </a:ln>
        <a:effectLst/>
      </c:spPr>
    </c:title>
    <c:autoTitleDeleted val="0"/>
    <c:plotArea>
      <c:layout/>
      <c:pieChart>
        <c:varyColors val="1"/>
        <c:ser>
          <c:idx val="0"/>
          <c:order val="0"/>
          <c:tx>
            <c:strRef>
              <c:f>[工作簿1]Sheet1!$A$1</c:f>
              <c:strCache>
                <c:ptCount val="1"/>
                <c:pt idx="0">
                  <c:v>李鹏</c:v>
                </c:pt>
              </c:strCache>
            </c:strRef>
          </c:tx>
          <c:spPr/>
          <c:explosion val="0"/>
          <c:dPt>
            <c:idx val="0"/>
            <c:bubble3D val="0"/>
            <c:spPr>
              <a:solidFill>
                <a:schemeClr val="accent1"/>
              </a:solidFill>
              <a:ln w="19050">
                <a:solidFill>
                  <a:schemeClr val="lt1"/>
                </a:solidFill>
              </a:ln>
              <a:effectLst/>
            </c:spPr>
          </c:dPt>
          <c:dLbls>
            <c:dLbl>
              <c:idx val="0"/>
              <c:layout>
                <c:manualLayout>
                  <c:x val="-0.00361139625080944"/>
                  <c:y val="-0.23216948367818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000" b="1">
                        <a:solidFill>
                          <a:sysClr val="windowText" lastClr="000000"/>
                        </a:solidFill>
                      </a:rPr>
                      <a:t>李鹏</a:t>
                    </a:r>
                    <a:r>
                      <a:rPr lang="en-US" altLang="zh-CN" sz="1000" b="1">
                        <a:solidFill>
                          <a:sysClr val="windowText" lastClr="000000"/>
                        </a:solidFill>
                      </a:rPr>
                      <a:t> </a:t>
                    </a:r>
                    <a:r>
                      <a:rPr sz="1000" b="1">
                        <a:solidFill>
                          <a:sysClr val="windowText" lastClr="000000"/>
                        </a:solidFill>
                      </a:rPr>
                      <a:t>100%</a:t>
                    </a:r>
                    <a:endParaRPr sz="1000" b="1">
                      <a:solidFill>
                        <a:sysClr val="windowText" lastClr="000000"/>
                      </a:solidFill>
                    </a:endParaRPr>
                  </a:p>
                  <a:p>
                    <a:pPr defTabSz="914400">
                      <a:defRPr lang="zh-CN" sz="900" b="0" i="0" u="none" strike="noStrike" kern="1200" baseline="0">
                        <a:solidFill>
                          <a:schemeClr val="tx1">
                            <a:lumMod val="75000"/>
                            <a:lumOff val="25000"/>
                          </a:schemeClr>
                        </a:solidFill>
                        <a:latin typeface="+mn-lt"/>
                        <a:ea typeface="+mn-ea"/>
                        <a:cs typeface="+mn-cs"/>
                      </a:defRPr>
                    </a:pPr>
                    <a:r>
                      <a:rPr sz="1000" b="1">
                        <a:solidFill>
                          <a:sysClr val="windowText" lastClr="000000"/>
                        </a:solidFill>
                      </a:rPr>
                      <a:t>出资</a:t>
                    </a:r>
                    <a:r>
                      <a:rPr lang="en-US" altLang="zh-CN" sz="1000" b="1">
                        <a:solidFill>
                          <a:sysClr val="windowText" lastClr="000000"/>
                        </a:solidFill>
                      </a:rPr>
                      <a:t>300</a:t>
                    </a:r>
                    <a:r>
                      <a:rPr altLang="en-US" sz="1000" b="1">
                        <a:solidFill>
                          <a:sysClr val="windowText" lastClr="000000"/>
                        </a:solidFill>
                      </a:rPr>
                      <a:t>万元</a:t>
                    </a:r>
                    <a:endParaRPr lang="en-US" altLang="en-US" sz="1000" b="1">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[工作簿1]Sheet1!$A$2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1822</Words>
  <Characters>10390</Characters>
  <Lines>86</Lines>
  <Paragraphs>24</Paragraphs>
  <TotalTime>0</TotalTime>
  <ScaleCrop>false</ScaleCrop>
  <LinksUpToDate>false</LinksUpToDate>
  <CharactersWithSpaces>12188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2019-12-08T06:58:00Z</dcterms:created>
  <dc:creator>lenovo</dc:creator>
  <cp:lastModifiedBy>lee</cp:lastModifiedBy>
  <dcterms:modified xsi:type="dcterms:W3CDTF">2021-05-28T02:07:30Z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B8163FE4AFBA43B5BC2A6851CA94D8BD</vt:lpwstr>
  </property>
</Properties>
</file>