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4"/>
          <w:szCs w:val="44"/>
          <w:lang w:eastAsia="zh-CN"/>
        </w:rPr>
      </w:pPr>
      <w:bookmarkStart w:id="0" w:name="_Hlk44493409"/>
      <w:bookmarkEnd w:id="0"/>
      <w:r>
        <w:rPr>
          <w:rFonts w:hint="eastAsia" w:ascii="黑体" w:hAnsi="黑体" w:eastAsia="黑体" w:cs="黑体"/>
          <w:b/>
          <w:bCs/>
          <w:sz w:val="44"/>
          <w:szCs w:val="44"/>
          <w:lang w:eastAsia="zh-CN"/>
        </w:rPr>
        <w:t>山东华拖农业装备有限公司</w:t>
      </w:r>
    </w:p>
    <w:p>
      <w:pPr>
        <w:jc w:val="center"/>
        <w:rPr>
          <w:rFonts w:ascii="黑体" w:hAnsi="黑体" w:eastAsia="黑体" w:cs="黑体"/>
          <w:b/>
          <w:bCs/>
          <w:sz w:val="44"/>
          <w:szCs w:val="44"/>
        </w:rPr>
      </w:pPr>
      <w:r>
        <w:rPr>
          <w:rFonts w:hint="eastAsia" w:ascii="黑体" w:hAnsi="黑体" w:eastAsia="黑体" w:cs="黑体"/>
          <w:b/>
          <w:bCs/>
          <w:sz w:val="44"/>
          <w:szCs w:val="44"/>
        </w:rPr>
        <w:t xml:space="preserve">挂牌转让说明书摘要 </w:t>
      </w:r>
    </w:p>
    <w:p>
      <w:pPr>
        <w:ind w:firstLine="2530" w:firstLineChars="900"/>
        <w:rPr>
          <w:rFonts w:ascii="黑体" w:hAnsi="黑体" w:eastAsia="黑体" w:cs="黑体"/>
          <w:b/>
          <w:bCs/>
          <w:sz w:val="28"/>
          <w:szCs w:val="28"/>
        </w:rPr>
      </w:pPr>
      <w:r>
        <w:rPr>
          <w:rFonts w:hint="eastAsia" w:ascii="黑体" w:hAnsi="黑体" w:eastAsia="黑体" w:cs="黑体"/>
          <w:b/>
          <w:bCs/>
          <w:sz w:val="28"/>
          <w:szCs w:val="28"/>
        </w:rPr>
        <w:t>（申请板块：成长板）</w:t>
      </w:r>
    </w:p>
    <w:p>
      <w:pPr>
        <w:ind w:firstLine="640" w:firstLineChars="200"/>
        <w:jc w:val="center"/>
        <w:rPr>
          <w:rFonts w:ascii="仿宋" w:hAnsi="仿宋" w:eastAsia="仿宋" w:cs="仿宋"/>
          <w:sz w:val="32"/>
          <w:szCs w:val="32"/>
        </w:rPr>
      </w:pPr>
    </w:p>
    <w:p>
      <w:pPr>
        <w:jc w:val="center"/>
        <w:rPr>
          <w:rFonts w:ascii="仿宋" w:hAnsi="仿宋" w:eastAsia="仿宋" w:cs="仿宋"/>
          <w:b/>
          <w:bCs/>
          <w:sz w:val="32"/>
          <w:szCs w:val="32"/>
        </w:rPr>
      </w:pPr>
      <w:r>
        <w:rPr>
          <w:rFonts w:hint="eastAsia" w:ascii="仿宋" w:hAnsi="仿宋" w:eastAsia="仿宋" w:cs="仿宋"/>
          <w:b/>
          <w:bCs/>
          <w:sz w:val="32"/>
          <w:szCs w:val="32"/>
        </w:rPr>
        <w:t>声 明</w:t>
      </w:r>
    </w:p>
    <w:p>
      <w:pPr>
        <w:jc w:val="center"/>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本公司及全体董事、监事、高级管理人员承诺挂牌说明书不存在虚假记载、误导性陈述或重大遗漏，并对其真实性、准确性、完整性承担个别和连带的法律责任。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本公司提醒投资者注意，凡本挂牌转让说明书未涉及的有关内容，请投资者直接或通过齐鲁股权交易中心有限公司向本公司查询。</w:t>
      </w:r>
    </w:p>
    <w:p>
      <w:pPr>
        <w:ind w:firstLine="640" w:firstLineChars="200"/>
        <w:rPr>
          <w:rFonts w:ascii="仿宋" w:hAnsi="仿宋" w:eastAsia="仿宋" w:cs="仿宋"/>
          <w:sz w:val="32"/>
          <w:szCs w:val="32"/>
        </w:rPr>
      </w:pPr>
      <w:r>
        <w:rPr>
          <w:rFonts w:hint="eastAsia" w:ascii="仿宋" w:hAnsi="仿宋" w:eastAsia="仿宋" w:cs="仿宋"/>
          <w:sz w:val="32"/>
          <w:szCs w:val="32"/>
        </w:rPr>
        <w:t>齐鲁股权交易中心有限公司对本次挂牌所做的任何决定或意见，均不表明其对本公司股票（权）的价值或投资者收益作出实质性判断或保证。任何与之相反的声明均属虚假不实陈述。本公司经营与收益的变化，由本公司自行负责，由此引致的投资风险，由投资者自行承担。</w:t>
      </w:r>
    </w:p>
    <w:p>
      <w:pPr>
        <w:rPr>
          <w:rFonts w:ascii="仿宋" w:hAnsi="仿宋" w:eastAsia="仿宋" w:cs="仿宋"/>
          <w:b/>
          <w:bCs/>
          <w:sz w:val="32"/>
          <w:szCs w:val="32"/>
        </w:rPr>
      </w:pPr>
    </w:p>
    <w:p>
      <w:pPr>
        <w:rPr>
          <w:rFonts w:ascii="仿宋" w:hAnsi="仿宋" w:eastAsia="仿宋" w:cs="仿宋"/>
          <w:b/>
          <w:bCs/>
          <w:sz w:val="32"/>
          <w:szCs w:val="32"/>
        </w:rPr>
      </w:pPr>
    </w:p>
    <w:p>
      <w:pPr>
        <w:rPr>
          <w:rFonts w:ascii="仿宋" w:hAnsi="仿宋" w:eastAsia="仿宋" w:cs="仿宋"/>
          <w:b/>
          <w:bCs/>
          <w:sz w:val="32"/>
          <w:szCs w:val="32"/>
        </w:rPr>
      </w:pPr>
    </w:p>
    <w:p>
      <w:pPr>
        <w:rPr>
          <w:rFonts w:ascii="仿宋" w:hAnsi="仿宋" w:eastAsia="仿宋" w:cs="仿宋"/>
          <w:b/>
          <w:bCs/>
          <w:sz w:val="32"/>
          <w:szCs w:val="32"/>
        </w:rPr>
      </w:pPr>
    </w:p>
    <w:p>
      <w:pPr>
        <w:rPr>
          <w:rFonts w:ascii="仿宋" w:hAnsi="仿宋" w:eastAsia="仿宋" w:cs="仿宋"/>
          <w:b/>
          <w:bCs/>
          <w:sz w:val="32"/>
          <w:szCs w:val="32"/>
        </w:rPr>
      </w:pPr>
    </w:p>
    <w:sdt>
      <w:sdtPr>
        <w:rPr>
          <w:rFonts w:ascii="宋体" w:hAnsi="宋体"/>
          <w:sz w:val="21"/>
        </w:rPr>
        <w:id w:val="147459893"/>
        <w15:color w:val="DBDBDB"/>
        <w:docPartObj>
          <w:docPartGallery w:val="Table of Contents"/>
          <w:docPartUnique/>
        </w:docPartObj>
      </w:sdtPr>
      <w:sdtEndPr>
        <w:rPr>
          <w:rFonts w:ascii="Times New Roman" w:hAnsi="Times New Roman"/>
          <w:b/>
          <w:sz w:val="24"/>
        </w:rPr>
      </w:sdtEndPr>
      <w:sdtContent>
        <w:p>
          <w:pPr>
            <w:spacing w:line="240" w:lineRule="auto"/>
            <w:jc w:val="center"/>
            <w:rPr>
              <w:b/>
              <w:bCs/>
              <w:sz w:val="36"/>
              <w:szCs w:val="36"/>
            </w:rPr>
          </w:pPr>
          <w:r>
            <w:rPr>
              <w:rFonts w:ascii="宋体" w:hAnsi="宋体"/>
              <w:b/>
              <w:bCs/>
              <w:sz w:val="28"/>
              <w:szCs w:val="36"/>
            </w:rPr>
            <w:t>目</w:t>
          </w:r>
          <w:r>
            <w:rPr>
              <w:rFonts w:hint="eastAsia" w:ascii="宋体" w:hAnsi="宋体"/>
              <w:b/>
              <w:bCs/>
              <w:sz w:val="28"/>
              <w:szCs w:val="36"/>
              <w:lang w:val="en-US" w:eastAsia="zh-CN"/>
            </w:rPr>
            <w:t xml:space="preserve">  </w:t>
          </w:r>
          <w:r>
            <w:rPr>
              <w:rFonts w:ascii="宋体" w:hAnsi="宋体"/>
              <w:b/>
              <w:bCs/>
              <w:sz w:val="28"/>
              <w:szCs w:val="36"/>
            </w:rPr>
            <w:t>录</w:t>
          </w:r>
        </w:p>
        <w:p>
          <w:pPr>
            <w:spacing w:line="240" w:lineRule="auto"/>
            <w:jc w:val="center"/>
          </w:pPr>
        </w:p>
        <w:p>
          <w:pPr>
            <w:pStyle w:val="10"/>
            <w:tabs>
              <w:tab w:val="right" w:leader="dot" w:pos="8306"/>
            </w:tabs>
          </w:pPr>
          <w:r>
            <w:fldChar w:fldCharType="begin"/>
          </w:r>
          <w:r>
            <w:instrText xml:space="preserve">TOC \o "1-2" \h \u </w:instrText>
          </w:r>
          <w:r>
            <w:fldChar w:fldCharType="separate"/>
          </w:r>
          <w:r>
            <w:fldChar w:fldCharType="begin"/>
          </w:r>
          <w:r>
            <w:instrText xml:space="preserve"> HYPERLINK \l _Toc5100 </w:instrText>
          </w:r>
          <w:r>
            <w:fldChar w:fldCharType="separate"/>
          </w:r>
          <w:r>
            <w:rPr>
              <w:rFonts w:hint="eastAsia"/>
            </w:rPr>
            <w:t>第一章  重大风险及重大事项提示</w:t>
          </w:r>
          <w:r>
            <w:tab/>
          </w:r>
          <w:r>
            <w:fldChar w:fldCharType="begin"/>
          </w:r>
          <w:r>
            <w:instrText xml:space="preserve"> PAGEREF _Toc5100 \h </w:instrText>
          </w:r>
          <w:r>
            <w:fldChar w:fldCharType="separate"/>
          </w:r>
          <w:r>
            <w:t>3</w:t>
          </w:r>
          <w:r>
            <w:fldChar w:fldCharType="end"/>
          </w:r>
          <w:r>
            <w:fldChar w:fldCharType="end"/>
          </w:r>
        </w:p>
        <w:p>
          <w:pPr>
            <w:pStyle w:val="11"/>
            <w:tabs>
              <w:tab w:val="right" w:leader="dot" w:pos="8306"/>
            </w:tabs>
          </w:pPr>
          <w:r>
            <w:fldChar w:fldCharType="begin"/>
          </w:r>
          <w:r>
            <w:instrText xml:space="preserve"> HYPERLINK \l _Toc8712 </w:instrText>
          </w:r>
          <w:r>
            <w:fldChar w:fldCharType="separate"/>
          </w:r>
          <w:r>
            <w:rPr>
              <w:rFonts w:hint="eastAsia"/>
            </w:rPr>
            <w:t>一、重大风险提示及应对措施</w:t>
          </w:r>
          <w:r>
            <w:tab/>
          </w:r>
          <w:r>
            <w:fldChar w:fldCharType="begin"/>
          </w:r>
          <w:r>
            <w:instrText xml:space="preserve"> PAGEREF _Toc8712 \h </w:instrText>
          </w:r>
          <w:r>
            <w:fldChar w:fldCharType="separate"/>
          </w:r>
          <w:r>
            <w:t>3</w:t>
          </w:r>
          <w:r>
            <w:fldChar w:fldCharType="end"/>
          </w:r>
          <w:r>
            <w:fldChar w:fldCharType="end"/>
          </w:r>
        </w:p>
        <w:p>
          <w:pPr>
            <w:pStyle w:val="11"/>
            <w:tabs>
              <w:tab w:val="right" w:leader="dot" w:pos="8306"/>
            </w:tabs>
          </w:pPr>
          <w:r>
            <w:fldChar w:fldCharType="begin"/>
          </w:r>
          <w:r>
            <w:instrText xml:space="preserve"> HYPERLINK \l _Toc29641 </w:instrText>
          </w:r>
          <w:r>
            <w:fldChar w:fldCharType="separate"/>
          </w:r>
          <w:r>
            <w:rPr>
              <w:rFonts w:hint="eastAsia"/>
              <w:highlight w:val="none"/>
            </w:rPr>
            <w:t>二、重大事项提示</w:t>
          </w:r>
          <w:r>
            <w:tab/>
          </w:r>
          <w:r>
            <w:fldChar w:fldCharType="begin"/>
          </w:r>
          <w:r>
            <w:instrText xml:space="preserve"> PAGEREF _Toc29641 \h </w:instrText>
          </w:r>
          <w:r>
            <w:fldChar w:fldCharType="separate"/>
          </w:r>
          <w:r>
            <w:t>4</w:t>
          </w:r>
          <w:r>
            <w:fldChar w:fldCharType="end"/>
          </w:r>
          <w:r>
            <w:fldChar w:fldCharType="end"/>
          </w:r>
        </w:p>
        <w:p>
          <w:pPr>
            <w:pStyle w:val="10"/>
            <w:tabs>
              <w:tab w:val="right" w:leader="dot" w:pos="8306"/>
            </w:tabs>
          </w:pPr>
          <w:r>
            <w:fldChar w:fldCharType="begin"/>
          </w:r>
          <w:r>
            <w:instrText xml:space="preserve"> HYPERLINK \l _Toc9082 </w:instrText>
          </w:r>
          <w:r>
            <w:fldChar w:fldCharType="separate"/>
          </w:r>
          <w:r>
            <w:rPr>
              <w:rFonts w:hint="eastAsia"/>
            </w:rPr>
            <w:t>第二章  基本情况</w:t>
          </w:r>
          <w:r>
            <w:tab/>
          </w:r>
          <w:r>
            <w:fldChar w:fldCharType="begin"/>
          </w:r>
          <w:r>
            <w:instrText xml:space="preserve"> PAGEREF _Toc9082 \h </w:instrText>
          </w:r>
          <w:r>
            <w:fldChar w:fldCharType="separate"/>
          </w:r>
          <w:r>
            <w:t>5</w:t>
          </w:r>
          <w:r>
            <w:fldChar w:fldCharType="end"/>
          </w:r>
          <w:r>
            <w:fldChar w:fldCharType="end"/>
          </w:r>
        </w:p>
        <w:p>
          <w:pPr>
            <w:pStyle w:val="11"/>
            <w:tabs>
              <w:tab w:val="right" w:leader="dot" w:pos="8306"/>
            </w:tabs>
          </w:pPr>
          <w:r>
            <w:fldChar w:fldCharType="begin"/>
          </w:r>
          <w:r>
            <w:instrText xml:space="preserve"> HYPERLINK \l _Toc6656 </w:instrText>
          </w:r>
          <w:r>
            <w:fldChar w:fldCharType="separate"/>
          </w:r>
          <w:r>
            <w:rPr>
              <w:rFonts w:hint="eastAsia"/>
            </w:rPr>
            <w:t>一、公司基本情况</w:t>
          </w:r>
          <w:r>
            <w:tab/>
          </w:r>
          <w:r>
            <w:fldChar w:fldCharType="begin"/>
          </w:r>
          <w:r>
            <w:instrText xml:space="preserve"> PAGEREF _Toc6656 \h </w:instrText>
          </w:r>
          <w:r>
            <w:fldChar w:fldCharType="separate"/>
          </w:r>
          <w:r>
            <w:t>5</w:t>
          </w:r>
          <w:r>
            <w:fldChar w:fldCharType="end"/>
          </w:r>
          <w:r>
            <w:fldChar w:fldCharType="end"/>
          </w:r>
        </w:p>
        <w:p>
          <w:pPr>
            <w:pStyle w:val="11"/>
            <w:tabs>
              <w:tab w:val="right" w:leader="dot" w:pos="8306"/>
            </w:tabs>
          </w:pPr>
          <w:r>
            <w:fldChar w:fldCharType="begin"/>
          </w:r>
          <w:r>
            <w:instrText xml:space="preserve"> HYPERLINK \l _Toc2130 </w:instrText>
          </w:r>
          <w:r>
            <w:fldChar w:fldCharType="separate"/>
          </w:r>
          <w:r>
            <w:rPr>
              <w:rFonts w:hint="eastAsia"/>
              <w:lang w:val="en-US" w:eastAsia="zh-CN"/>
            </w:rPr>
            <w:t>二</w:t>
          </w:r>
          <w:r>
            <w:rPr>
              <w:rFonts w:hint="eastAsia"/>
            </w:rPr>
            <w:t>、公司目前股权结构及股东情况</w:t>
          </w:r>
          <w:r>
            <w:tab/>
          </w:r>
          <w:r>
            <w:fldChar w:fldCharType="begin"/>
          </w:r>
          <w:r>
            <w:instrText xml:space="preserve"> PAGEREF _Toc2130 \h </w:instrText>
          </w:r>
          <w:r>
            <w:fldChar w:fldCharType="separate"/>
          </w:r>
          <w:r>
            <w:t>6</w:t>
          </w:r>
          <w:r>
            <w:fldChar w:fldCharType="end"/>
          </w:r>
          <w:r>
            <w:fldChar w:fldCharType="end"/>
          </w:r>
        </w:p>
        <w:p>
          <w:pPr>
            <w:pStyle w:val="11"/>
            <w:tabs>
              <w:tab w:val="right" w:leader="dot" w:pos="8306"/>
            </w:tabs>
          </w:pPr>
          <w:r>
            <w:fldChar w:fldCharType="begin"/>
          </w:r>
          <w:r>
            <w:instrText xml:space="preserve"> HYPERLINK \l _Toc24476 </w:instrText>
          </w:r>
          <w:r>
            <w:fldChar w:fldCharType="separate"/>
          </w:r>
          <w:r>
            <w:rPr>
              <w:rFonts w:hint="eastAsia"/>
              <w:lang w:val="en-US" w:eastAsia="zh-CN"/>
            </w:rPr>
            <w:t>三</w:t>
          </w:r>
          <w:r>
            <w:rPr>
              <w:rFonts w:hint="eastAsia"/>
            </w:rPr>
            <w:t>、公司组织结构</w:t>
          </w:r>
          <w:r>
            <w:tab/>
          </w:r>
          <w:r>
            <w:fldChar w:fldCharType="begin"/>
          </w:r>
          <w:r>
            <w:instrText xml:space="preserve"> PAGEREF _Toc24476 \h </w:instrText>
          </w:r>
          <w:r>
            <w:fldChar w:fldCharType="separate"/>
          </w:r>
          <w:r>
            <w:t>7</w:t>
          </w:r>
          <w:r>
            <w:fldChar w:fldCharType="end"/>
          </w:r>
          <w:r>
            <w:fldChar w:fldCharType="end"/>
          </w:r>
        </w:p>
        <w:p>
          <w:pPr>
            <w:pStyle w:val="11"/>
            <w:tabs>
              <w:tab w:val="right" w:leader="dot" w:pos="8306"/>
            </w:tabs>
          </w:pPr>
          <w:r>
            <w:fldChar w:fldCharType="begin"/>
          </w:r>
          <w:r>
            <w:instrText xml:space="preserve"> HYPERLINK \l _Toc27437 </w:instrText>
          </w:r>
          <w:r>
            <w:fldChar w:fldCharType="separate"/>
          </w:r>
          <w:r>
            <w:rPr>
              <w:rFonts w:hint="eastAsia"/>
              <w:lang w:val="en-US" w:eastAsia="zh-CN"/>
            </w:rPr>
            <w:t>四、</w:t>
          </w:r>
          <w:r>
            <w:rPr>
              <w:rFonts w:hint="eastAsia"/>
            </w:rPr>
            <w:t>公司主营业务情况</w:t>
          </w:r>
          <w:r>
            <w:tab/>
          </w:r>
          <w:r>
            <w:fldChar w:fldCharType="begin"/>
          </w:r>
          <w:r>
            <w:instrText xml:space="preserve"> PAGEREF _Toc27437 \h </w:instrText>
          </w:r>
          <w:r>
            <w:fldChar w:fldCharType="separate"/>
          </w:r>
          <w:r>
            <w:t>7</w:t>
          </w:r>
          <w:r>
            <w:fldChar w:fldCharType="end"/>
          </w:r>
          <w:r>
            <w:fldChar w:fldCharType="end"/>
          </w:r>
        </w:p>
        <w:p>
          <w:pPr>
            <w:pStyle w:val="11"/>
            <w:tabs>
              <w:tab w:val="right" w:leader="dot" w:pos="8306"/>
            </w:tabs>
          </w:pPr>
          <w:r>
            <w:fldChar w:fldCharType="begin"/>
          </w:r>
          <w:r>
            <w:instrText xml:space="preserve"> HYPERLINK \l _Toc27548 </w:instrText>
          </w:r>
          <w:r>
            <w:fldChar w:fldCharType="separate"/>
          </w:r>
          <w:r>
            <w:rPr>
              <w:rFonts w:hint="eastAsia"/>
              <w:lang w:val="en-US" w:eastAsia="zh-CN"/>
            </w:rPr>
            <w:t>五</w:t>
          </w:r>
          <w:r>
            <w:rPr>
              <w:rFonts w:hint="eastAsia"/>
            </w:rPr>
            <w:t>、公司财务报表简表</w:t>
          </w:r>
          <w:r>
            <w:tab/>
          </w:r>
          <w:r>
            <w:fldChar w:fldCharType="begin"/>
          </w:r>
          <w:r>
            <w:instrText xml:space="preserve"> PAGEREF _Toc27548 \h </w:instrText>
          </w:r>
          <w:r>
            <w:fldChar w:fldCharType="separate"/>
          </w:r>
          <w:r>
            <w:t>11</w:t>
          </w:r>
          <w:r>
            <w:fldChar w:fldCharType="end"/>
          </w:r>
          <w:r>
            <w:fldChar w:fldCharType="end"/>
          </w:r>
        </w:p>
        <w:p>
          <w:pPr>
            <w:pStyle w:val="11"/>
            <w:tabs>
              <w:tab w:val="right" w:leader="dot" w:pos="8306"/>
            </w:tabs>
          </w:pPr>
          <w:r>
            <w:fldChar w:fldCharType="begin"/>
          </w:r>
          <w:r>
            <w:instrText xml:space="preserve"> HYPERLINK \l _Toc14999 </w:instrText>
          </w:r>
          <w:r>
            <w:fldChar w:fldCharType="separate"/>
          </w:r>
          <w:r>
            <w:rPr>
              <w:rFonts w:hint="eastAsia"/>
              <w:lang w:eastAsia="zh-CN"/>
            </w:rPr>
            <w:t>六</w:t>
          </w:r>
          <w:r>
            <w:rPr>
              <w:rFonts w:hint="eastAsia"/>
            </w:rPr>
            <w:t>、公司经营目标和计划</w:t>
          </w:r>
          <w:r>
            <w:tab/>
          </w:r>
          <w:r>
            <w:fldChar w:fldCharType="begin"/>
          </w:r>
          <w:r>
            <w:instrText xml:space="preserve"> PAGEREF _Toc14999 \h </w:instrText>
          </w:r>
          <w:r>
            <w:fldChar w:fldCharType="separate"/>
          </w:r>
          <w:r>
            <w:t>16</w:t>
          </w:r>
          <w:r>
            <w:fldChar w:fldCharType="end"/>
          </w:r>
          <w:r>
            <w:fldChar w:fldCharType="end"/>
          </w:r>
        </w:p>
        <w:p>
          <w:pPr>
            <w:pStyle w:val="10"/>
            <w:tabs>
              <w:tab w:val="right" w:leader="dot" w:pos="8306"/>
            </w:tabs>
          </w:pPr>
          <w:r>
            <w:fldChar w:fldCharType="begin"/>
          </w:r>
          <w:r>
            <w:instrText xml:space="preserve"> HYPERLINK \l _Toc28607 </w:instrText>
          </w:r>
          <w:r>
            <w:fldChar w:fldCharType="separate"/>
          </w:r>
          <w:r>
            <w:rPr>
              <w:rFonts w:hint="eastAsia"/>
            </w:rPr>
            <w:t>第三章 本次挂牌的有关机构</w:t>
          </w:r>
          <w:r>
            <w:tab/>
          </w:r>
          <w:r>
            <w:fldChar w:fldCharType="begin"/>
          </w:r>
          <w:r>
            <w:instrText xml:space="preserve"> PAGEREF _Toc28607 \h </w:instrText>
          </w:r>
          <w:r>
            <w:fldChar w:fldCharType="separate"/>
          </w:r>
          <w:r>
            <w:t>18</w:t>
          </w:r>
          <w:r>
            <w:fldChar w:fldCharType="end"/>
          </w:r>
          <w:r>
            <w:fldChar w:fldCharType="end"/>
          </w:r>
        </w:p>
        <w:p>
          <w:pPr>
            <w:pStyle w:val="11"/>
            <w:tabs>
              <w:tab w:val="right" w:leader="dot" w:pos="8306"/>
            </w:tabs>
          </w:pPr>
          <w:r>
            <w:fldChar w:fldCharType="begin"/>
          </w:r>
          <w:r>
            <w:instrText xml:space="preserve"> HYPERLINK \l _Toc28975 </w:instrText>
          </w:r>
          <w:r>
            <w:fldChar w:fldCharType="separate"/>
          </w:r>
          <w:r>
            <w:rPr>
              <w:rFonts w:hint="eastAsia" w:ascii="宋体" w:hAnsi="宋体"/>
              <w:bCs/>
              <w:szCs w:val="28"/>
            </w:rPr>
            <w:t>一、推荐机构</w:t>
          </w:r>
          <w:r>
            <w:tab/>
          </w:r>
          <w:r>
            <w:fldChar w:fldCharType="begin"/>
          </w:r>
          <w:r>
            <w:instrText xml:space="preserve"> PAGEREF _Toc28975 \h </w:instrText>
          </w:r>
          <w:r>
            <w:fldChar w:fldCharType="separate"/>
          </w:r>
          <w:r>
            <w:t>18</w:t>
          </w:r>
          <w:r>
            <w:fldChar w:fldCharType="end"/>
          </w:r>
          <w:r>
            <w:fldChar w:fldCharType="end"/>
          </w:r>
        </w:p>
        <w:p>
          <w:pPr>
            <w:pStyle w:val="11"/>
            <w:tabs>
              <w:tab w:val="right" w:leader="dot" w:pos="8306"/>
            </w:tabs>
          </w:pPr>
          <w:r>
            <w:fldChar w:fldCharType="begin"/>
          </w:r>
          <w:r>
            <w:instrText xml:space="preserve"> HYPERLINK \l _Toc13464 </w:instrText>
          </w:r>
          <w:r>
            <w:fldChar w:fldCharType="separate"/>
          </w:r>
          <w:r>
            <w:rPr>
              <w:rFonts w:hint="eastAsia" w:ascii="宋体" w:hAnsi="宋体"/>
              <w:bCs/>
              <w:szCs w:val="28"/>
            </w:rPr>
            <w:t>二、审计机构</w:t>
          </w:r>
          <w:r>
            <w:tab/>
          </w:r>
          <w:r>
            <w:fldChar w:fldCharType="begin"/>
          </w:r>
          <w:r>
            <w:instrText xml:space="preserve"> PAGEREF _Toc13464 \h </w:instrText>
          </w:r>
          <w:r>
            <w:fldChar w:fldCharType="separate"/>
          </w:r>
          <w:r>
            <w:t>18</w:t>
          </w:r>
          <w:r>
            <w:fldChar w:fldCharType="end"/>
          </w:r>
          <w:r>
            <w:fldChar w:fldCharType="end"/>
          </w:r>
        </w:p>
        <w:p>
          <w:pPr>
            <w:pStyle w:val="11"/>
            <w:tabs>
              <w:tab w:val="right" w:leader="dot" w:pos="8306"/>
            </w:tabs>
          </w:pPr>
          <w:r>
            <w:fldChar w:fldCharType="begin"/>
          </w:r>
          <w:r>
            <w:instrText xml:space="preserve"> HYPERLINK \l _Toc21476 </w:instrText>
          </w:r>
          <w:r>
            <w:fldChar w:fldCharType="separate"/>
          </w:r>
          <w:r>
            <w:rPr>
              <w:rFonts w:hint="eastAsia" w:ascii="宋体" w:hAnsi="宋体"/>
              <w:bCs/>
              <w:szCs w:val="28"/>
            </w:rPr>
            <w:t>三、股权登记托管机构</w:t>
          </w:r>
          <w:r>
            <w:tab/>
          </w:r>
          <w:r>
            <w:fldChar w:fldCharType="begin"/>
          </w:r>
          <w:r>
            <w:instrText xml:space="preserve"> PAGEREF _Toc21476 \h </w:instrText>
          </w:r>
          <w:r>
            <w:fldChar w:fldCharType="separate"/>
          </w:r>
          <w:r>
            <w:t>18</w:t>
          </w:r>
          <w:r>
            <w:fldChar w:fldCharType="end"/>
          </w:r>
          <w:r>
            <w:fldChar w:fldCharType="end"/>
          </w:r>
        </w:p>
        <w:p>
          <w:r>
            <w:fldChar w:fldCharType="end"/>
          </w:r>
        </w:p>
      </w:sdtContent>
    </w:sdt>
    <w:p/>
    <w:p>
      <w:r>
        <w:br w:type="page"/>
      </w:r>
    </w:p>
    <w:p>
      <w:pPr>
        <w:pStyle w:val="2"/>
      </w:pPr>
      <w:bookmarkStart w:id="1" w:name="_Toc6830"/>
      <w:bookmarkStart w:id="2" w:name="_Toc26696"/>
      <w:bookmarkStart w:id="3" w:name="_Toc5100"/>
      <w:bookmarkStart w:id="4" w:name="_Toc25395"/>
      <w:bookmarkStart w:id="5" w:name="_Toc13832"/>
      <w:bookmarkStart w:id="6" w:name="_Toc15118_WPSOffice_Level1"/>
      <w:bookmarkStart w:id="7" w:name="_Toc17671"/>
      <w:r>
        <w:rPr>
          <w:rFonts w:hint="eastAsia"/>
        </w:rPr>
        <w:t>第一章  重大风险及重大事项提示</w:t>
      </w:r>
      <w:bookmarkEnd w:id="1"/>
      <w:bookmarkEnd w:id="2"/>
      <w:bookmarkEnd w:id="3"/>
    </w:p>
    <w:p>
      <w:pPr>
        <w:pStyle w:val="3"/>
        <w:ind w:left="480"/>
      </w:pPr>
      <w:bookmarkStart w:id="8" w:name="_Toc11576"/>
      <w:bookmarkStart w:id="9" w:name="_Toc12144"/>
      <w:bookmarkStart w:id="10" w:name="_Toc16487_WPSOffice_Level2"/>
      <w:bookmarkStart w:id="11" w:name="_Toc26315"/>
      <w:bookmarkStart w:id="12" w:name="_Toc8712"/>
      <w:r>
        <w:rPr>
          <w:rFonts w:hint="eastAsia"/>
        </w:rPr>
        <w:t>一、重大风险提示及应对措施</w:t>
      </w:r>
      <w:bookmarkEnd w:id="8"/>
      <w:bookmarkEnd w:id="9"/>
      <w:bookmarkEnd w:id="10"/>
      <w:bookmarkEnd w:id="11"/>
      <w:bookmarkEnd w:id="12"/>
    </w:p>
    <w:p>
      <w:pPr>
        <w:ind w:firstLine="480"/>
        <w:rPr>
          <w:rFonts w:ascii="宋体" w:hAnsi="宋体"/>
        </w:rPr>
      </w:pPr>
      <w:r>
        <w:rPr>
          <w:rFonts w:hint="eastAsia" w:ascii="宋体" w:hAnsi="宋体"/>
        </w:rPr>
        <w:t>投资本公司的股权会涉及一系列的风险，因此，投资者在投资前，敬请将下列风险因素连同本挂牌转让说明书中其他内容一并考虑。下列风险因素是按照影响投资决策程度排序的，但该排序并不表示风险因素会依次发生。</w:t>
      </w:r>
      <w:bookmarkStart w:id="13" w:name="_Toc245701697"/>
      <w:bookmarkStart w:id="14" w:name="_Toc236113127"/>
      <w:bookmarkStart w:id="15" w:name="_Toc236113884"/>
      <w:bookmarkStart w:id="16" w:name="_Toc280345464"/>
      <w:bookmarkStart w:id="17" w:name="_Toc236206524"/>
    </w:p>
    <w:bookmarkEnd w:id="13"/>
    <w:bookmarkEnd w:id="14"/>
    <w:bookmarkEnd w:id="15"/>
    <w:bookmarkEnd w:id="16"/>
    <w:bookmarkEnd w:id="17"/>
    <w:p>
      <w:pPr>
        <w:pStyle w:val="4"/>
        <w:bidi w:val="0"/>
        <w:ind w:left="0" w:leftChars="0" w:firstLine="643" w:firstLineChars="200"/>
      </w:pPr>
      <w:bookmarkStart w:id="18" w:name="_Toc236206525"/>
      <w:bookmarkStart w:id="19" w:name="_Toc236113128"/>
      <w:bookmarkStart w:id="20" w:name="_Toc236113885"/>
      <w:bookmarkStart w:id="21" w:name="_Toc245701698"/>
      <w:bookmarkStart w:id="22" w:name="_Toc280345465"/>
      <w:bookmarkStart w:id="23" w:name="_Toc16996"/>
      <w:bookmarkStart w:id="24" w:name="_Toc5420"/>
      <w:bookmarkStart w:id="25" w:name="_Toc1771"/>
      <w:bookmarkStart w:id="26" w:name="_Toc23392_WPSOffice_Level2"/>
      <w:bookmarkStart w:id="27" w:name="_Toc25004"/>
      <w:r>
        <w:rPr>
          <w:rFonts w:hint="eastAsia"/>
        </w:rPr>
        <w:t>（一）</w:t>
      </w:r>
      <w:r>
        <w:t>实际控制人不当控制风险</w:t>
      </w:r>
    </w:p>
    <w:p>
      <w:pPr>
        <w:ind w:firstLine="480"/>
        <w:rPr>
          <w:b/>
        </w:rPr>
      </w:pPr>
      <w:r>
        <w:rPr>
          <w:rFonts w:hint="eastAsia"/>
          <w:b/>
          <w:lang w:val="en-US" w:eastAsia="zh-CN"/>
        </w:rPr>
        <w:t>刘钊雷通过股权穿透持有公司80%的股权，是公司的实际控制人。对公司发展战略、经营决策、人事安排、利润分配、关联交易和对外投资等重大事项具有较大的决定权。因此公司正逐步建立并完善法人治理结构，依照规章制度设立监事人员，以此减少实控人行使表决权对公司的经营、人事、财务等进行不当控制而带来的公司经营风险</w:t>
      </w:r>
      <w:r>
        <w:rPr>
          <w:b/>
        </w:rPr>
        <w:t>。</w:t>
      </w:r>
    </w:p>
    <w:p>
      <w:pPr>
        <w:numPr>
          <w:ilvl w:val="0"/>
          <w:numId w:val="0"/>
        </w:numPr>
        <w:ind w:firstLine="482" w:firstLineChars="200"/>
        <w:jc w:val="both"/>
        <w:rPr>
          <w:rFonts w:hint="eastAsia"/>
          <w:b/>
          <w:lang w:val="en-US" w:eastAsia="zh-CN"/>
        </w:rPr>
      </w:pPr>
      <w:r>
        <w:rPr>
          <w:rFonts w:hint="eastAsia"/>
          <w:b/>
          <w:lang w:val="en-US" w:eastAsia="zh-CN"/>
        </w:rPr>
        <w:t>（二）市场竞争风险</w:t>
      </w: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textAlignment w:val="auto"/>
        <w:rPr>
          <w:rFonts w:hint="eastAsia"/>
          <w:b/>
          <w:lang w:val="en-US" w:eastAsia="zh-CN"/>
        </w:rPr>
      </w:pPr>
      <w:r>
        <w:rPr>
          <w:rFonts w:hint="default"/>
          <w:b/>
          <w:lang w:val="en-US" w:eastAsia="zh-CN"/>
        </w:rPr>
        <w:t>我国</w:t>
      </w:r>
      <w:r>
        <w:rPr>
          <w:rFonts w:hint="eastAsia"/>
          <w:b/>
          <w:lang w:val="en-US" w:eastAsia="zh-CN"/>
        </w:rPr>
        <w:t>农机行业</w:t>
      </w:r>
      <w:r>
        <w:rPr>
          <w:rFonts w:hint="default"/>
          <w:b/>
          <w:lang w:val="en-US" w:eastAsia="zh-CN"/>
        </w:rPr>
        <w:t>仍处在转型升级过程中，行业升级所带来的良好市场预期、新产品的需求、新技术的运用、智能化以及节能环保要求的日益增长等都可能对目前行业的竞争格局带来冲击。如果公司不能充分发挥自身在生产、销售等方面的优势，加快新技术、新产品的布局，发挥产品集约优势，以增强产品的竞争力、提高产品市场占有率，则将在市场竞争中处于不利的地位。</w:t>
      </w: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textAlignment w:val="auto"/>
        <w:rPr>
          <w:rFonts w:hint="eastAsia"/>
        </w:rPr>
      </w:pPr>
      <w:r>
        <w:rPr>
          <w:rFonts w:hint="eastAsia"/>
          <w:b/>
          <w:lang w:val="en-US" w:eastAsia="zh-CN"/>
        </w:rPr>
        <w:t>对此，</w:t>
      </w:r>
      <w:r>
        <w:rPr>
          <w:rFonts w:hint="default"/>
          <w:b/>
          <w:lang w:val="en-US" w:eastAsia="zh-CN"/>
        </w:rPr>
        <w:t>公司也从多个方面采取了积极措施</w:t>
      </w:r>
      <w:r>
        <w:rPr>
          <w:rFonts w:hint="eastAsia"/>
          <w:b/>
          <w:lang w:val="en-US" w:eastAsia="zh-CN"/>
        </w:rPr>
        <w:t>，加强技术创新及产品质量控制，注重当地区域的口碑经营，拓展业务范畴，增加产品种类等</w:t>
      </w:r>
      <w:r>
        <w:rPr>
          <w:rFonts w:hint="default"/>
          <w:b/>
          <w:lang w:val="en-US" w:eastAsia="zh-CN"/>
        </w:rPr>
        <w:t>。</w:t>
      </w:r>
    </w:p>
    <w:p>
      <w:pPr>
        <w:pStyle w:val="4"/>
        <w:bidi w:val="0"/>
      </w:pPr>
      <w:r>
        <w:rPr>
          <w:rFonts w:hint="eastAsia"/>
        </w:rPr>
        <w:t>（</w:t>
      </w:r>
      <w:r>
        <w:rPr>
          <w:rFonts w:hint="eastAsia"/>
          <w:lang w:val="en-US" w:eastAsia="zh-CN"/>
        </w:rPr>
        <w:t>三</w:t>
      </w:r>
      <w:r>
        <w:rPr>
          <w:rFonts w:hint="eastAsia"/>
        </w:rPr>
        <w:t>）公司治理风险</w:t>
      </w:r>
    </w:p>
    <w:p>
      <w:pPr>
        <w:ind w:firstLine="480"/>
        <w:rPr>
          <w:rFonts w:hint="eastAsia"/>
          <w:b/>
          <w:lang w:val="en-US" w:eastAsia="zh-CN"/>
        </w:rPr>
      </w:pPr>
      <w:r>
        <w:rPr>
          <w:rFonts w:hint="eastAsia"/>
          <w:b/>
        </w:rPr>
        <w:t>公司目前处于成长期，机构架设较为简单，内部管理较为稳定，但随着公司资产规模和经营规模不断扩大，员工人数及组织机构日益扩大，经营决策、组织管理、风险控制的难度将加大。管理团队若不能适应营业规模、业务和资产规模扩张而相应提高管理水平，采取相应对策，存在一定的内部管理风险。</w:t>
      </w:r>
      <w:r>
        <w:rPr>
          <w:rFonts w:hint="eastAsia"/>
          <w:b/>
          <w:lang w:val="en-US" w:eastAsia="zh-CN"/>
        </w:rPr>
        <w:t xml:space="preserve">  </w:t>
      </w:r>
    </w:p>
    <w:p>
      <w:pPr>
        <w:ind w:firstLine="480"/>
        <w:rPr>
          <w:rFonts w:hint="eastAsia"/>
          <w:b/>
        </w:rPr>
      </w:pPr>
      <w:r>
        <w:rPr>
          <w:rFonts w:hint="eastAsia"/>
          <w:b/>
        </w:rPr>
        <w:t>对此，公司逐步建立健全了</w:t>
      </w:r>
      <w:r>
        <w:rPr>
          <w:rFonts w:hint="eastAsia"/>
          <w:b/>
          <w:lang w:val="en-US" w:eastAsia="zh-CN"/>
        </w:rPr>
        <w:t>实控人</w:t>
      </w:r>
      <w:r>
        <w:rPr>
          <w:rFonts w:hint="eastAsia"/>
          <w:b/>
        </w:rPr>
        <w:t>治理机构，制定了适应企业现阶段发展的内部控制体系。</w:t>
      </w:r>
    </w:p>
    <w:p>
      <w:pPr>
        <w:pStyle w:val="4"/>
        <w:bidi w:val="0"/>
      </w:pPr>
      <w:r>
        <w:rPr>
          <w:rFonts w:hint="eastAsia"/>
        </w:rPr>
        <w:t>（</w:t>
      </w:r>
      <w:r>
        <w:rPr>
          <w:rFonts w:hint="eastAsia"/>
          <w:lang w:eastAsia="zh-CN"/>
        </w:rPr>
        <w:t>四</w:t>
      </w:r>
      <w:r>
        <w:rPr>
          <w:rFonts w:hint="eastAsia"/>
        </w:rPr>
        <w:t xml:space="preserve">）内部管理风险 </w:t>
      </w:r>
    </w:p>
    <w:p>
      <w:pPr>
        <w:ind w:firstLine="723" w:firstLineChars="300"/>
        <w:rPr>
          <w:b/>
        </w:rPr>
      </w:pPr>
      <w:r>
        <w:rPr>
          <w:rFonts w:hint="eastAsia"/>
          <w:b/>
        </w:rPr>
        <w:t>公司成立后，建立健全了</w:t>
      </w:r>
      <w:r>
        <w:rPr>
          <w:rFonts w:hint="eastAsia"/>
          <w:b/>
          <w:lang w:eastAsia="zh-CN"/>
        </w:rPr>
        <w:t>实控人</w:t>
      </w:r>
      <w:r>
        <w:rPr>
          <w:rFonts w:hint="eastAsia"/>
          <w:b/>
        </w:rPr>
        <w:t>治理结构，完善了现代化企业发展的内部控制体系，并陆续推出各项内部控制制度及相关细则。但是，由于部分管理制度的执行尚未经过实践检验，公司治理和内部控制体系也需要在生产经营过程中逐步完善，并且，随着公司的快速发展，经营规模的不断扩大，对公司治理结构的要求将会越来越高。若公司未能逐步完善治理结构，提升内部管理水平，可能在未来经营中因内部管理跟不上公司发展而影响公司的持续稳定发展。为此，公司积极完善公司内部治理结构，建立了全方位的内部管理监督流程以规避内部管理失误带来的风险。</w:t>
      </w:r>
    </w:p>
    <w:bookmarkEnd w:id="18"/>
    <w:bookmarkEnd w:id="19"/>
    <w:bookmarkEnd w:id="20"/>
    <w:bookmarkEnd w:id="21"/>
    <w:bookmarkEnd w:id="22"/>
    <w:bookmarkEnd w:id="23"/>
    <w:p>
      <w:pPr>
        <w:pStyle w:val="3"/>
        <w:ind w:left="480"/>
        <w:rPr>
          <w:rFonts w:ascii="仿宋" w:hAnsi="仿宋" w:eastAsia="仿宋" w:cs="仿宋"/>
          <w:highlight w:val="none"/>
        </w:rPr>
      </w:pPr>
      <w:bookmarkStart w:id="28" w:name="_Toc29641"/>
      <w:r>
        <w:rPr>
          <w:rFonts w:hint="eastAsia"/>
          <w:highlight w:val="none"/>
        </w:rPr>
        <w:t>二、重大事项提示</w:t>
      </w:r>
      <w:bookmarkEnd w:id="24"/>
      <w:bookmarkEnd w:id="25"/>
      <w:bookmarkEnd w:id="26"/>
      <w:bookmarkEnd w:id="27"/>
      <w:bookmarkEnd w:id="28"/>
    </w:p>
    <w:p>
      <w:pPr>
        <w:ind w:firstLine="482" w:firstLineChars="200"/>
        <w:outlineLvl w:val="2"/>
        <w:rPr>
          <w:rStyle w:val="22"/>
          <w:sz w:val="24"/>
          <w:szCs w:val="20"/>
        </w:rPr>
      </w:pPr>
      <w:r>
        <w:rPr>
          <w:rStyle w:val="22"/>
          <w:sz w:val="24"/>
          <w:szCs w:val="20"/>
        </w:rPr>
        <w:t>（一）股东关于自愿锁定股权的承诺</w:t>
      </w:r>
    </w:p>
    <w:p>
      <w:pPr>
        <w:ind w:firstLine="480" w:firstLineChars="200"/>
      </w:pPr>
      <w:r>
        <w:rPr>
          <w:rFonts w:hint="eastAsia"/>
        </w:rPr>
        <w:t>公司股东</w:t>
      </w:r>
      <w:r>
        <w:rPr>
          <w:rFonts w:hint="eastAsia"/>
          <w:lang w:val="en-US" w:eastAsia="zh-CN"/>
        </w:rPr>
        <w:t>潍坊雷泰机械有限公司承诺：</w:t>
      </w:r>
      <w:r>
        <w:rPr>
          <w:rFonts w:hint="eastAsia"/>
        </w:rPr>
        <w:t>“自</w:t>
      </w:r>
      <w:r>
        <w:rPr>
          <w:rFonts w:hint="eastAsia"/>
          <w:lang w:val="en-US" w:eastAsia="zh-CN"/>
        </w:rPr>
        <w:t>山东华拖农业装备有限公司</w:t>
      </w:r>
      <w:r>
        <w:rPr>
          <w:rFonts w:hint="eastAsia"/>
        </w:rPr>
        <w:t xml:space="preserve">挂牌成功之日起十二个月内，不转让或者委托他人管理其持有的公司股份，也不由公司收购该部分股份。” </w:t>
      </w:r>
    </w:p>
    <w:p>
      <w:pPr>
        <w:ind w:firstLine="482" w:firstLineChars="200"/>
        <w:outlineLvl w:val="2"/>
        <w:rPr>
          <w:rStyle w:val="22"/>
          <w:sz w:val="24"/>
          <w:szCs w:val="20"/>
        </w:rPr>
      </w:pPr>
      <w:r>
        <w:rPr>
          <w:rStyle w:val="22"/>
          <w:rFonts w:hint="eastAsia"/>
          <w:sz w:val="24"/>
          <w:szCs w:val="20"/>
        </w:rPr>
        <w:t>（二）股利分配政策</w:t>
      </w:r>
    </w:p>
    <w:p>
      <w:pPr>
        <w:ind w:firstLine="480" w:firstLineChars="200"/>
      </w:pPr>
      <w:r>
        <w:rPr>
          <w:rFonts w:hint="eastAsia"/>
        </w:rPr>
        <w:t>根据《公司法》等法律法规，公司股权挂牌后适用的《公司章程》，此次股权挂牌后，公司的股利分配政策如下：</w:t>
      </w:r>
      <w:r>
        <w:rPr>
          <w:rFonts w:hint="eastAsia"/>
          <w:color w:val="FF0000"/>
        </w:rPr>
        <w:t xml:space="preserve"> </w:t>
      </w:r>
    </w:p>
    <w:p>
      <w:pPr>
        <w:ind w:firstLine="480" w:firstLineChars="200"/>
      </w:pPr>
      <w:r>
        <w:rPr>
          <w:rFonts w:hint="eastAsia"/>
        </w:rPr>
        <w:t>1、决策机制与程序：公司的利润分配政策和具体股利分配方案需经公司</w:t>
      </w:r>
      <w:r>
        <w:rPr>
          <w:rFonts w:hint="eastAsia"/>
          <w:lang w:val="en-US" w:eastAsia="zh-CN"/>
        </w:rPr>
        <w:t>股东会</w:t>
      </w:r>
      <w:r>
        <w:rPr>
          <w:rFonts w:hint="eastAsia"/>
        </w:rPr>
        <w:t>研讨后由公司执行董事审核批准；执行董事在制订利润分配政策、股利分配方案时应充分考虑</w:t>
      </w:r>
      <w:r>
        <w:rPr>
          <w:rFonts w:hint="eastAsia"/>
          <w:lang w:val="en-US" w:eastAsia="zh-CN"/>
        </w:rPr>
        <w:t>股东</w:t>
      </w:r>
      <w:r>
        <w:rPr>
          <w:rFonts w:hint="eastAsia"/>
        </w:rPr>
        <w:t>、监事和公司管理层的意见。</w:t>
      </w:r>
    </w:p>
    <w:p>
      <w:pPr>
        <w:ind w:firstLine="480" w:firstLineChars="200"/>
      </w:pPr>
      <w:r>
        <w:rPr>
          <w:rFonts w:hint="eastAsia"/>
        </w:rPr>
        <w:t>2、利润的分配形式：公司可采取现金、股份或者现金股份相结合的方式分配股利。公司将优先考虑采取现金方式分配股利；若公司增长快速，在考虑实际经营情况的基础上，可采取股份或者现金股份相结合的方式分配股利。</w:t>
      </w:r>
    </w:p>
    <w:p>
      <w:pPr>
        <w:ind w:firstLine="480" w:firstLineChars="200"/>
      </w:pPr>
      <w:r>
        <w:rPr>
          <w:rFonts w:hint="eastAsia"/>
        </w:rPr>
        <w:t>3、公司根据外部经营环境或者自身经营状况对利润分配政策进行调整的，调整后的利润分配政策不得违反齐鲁股权交易中心有关规定，有关调整利润分配政策的议案需经公司</w:t>
      </w:r>
      <w:r>
        <w:rPr>
          <w:rFonts w:hint="eastAsia"/>
          <w:lang w:val="en-US" w:eastAsia="zh-CN"/>
        </w:rPr>
        <w:t>股东</w:t>
      </w:r>
      <w:r>
        <w:rPr>
          <w:rFonts w:hint="eastAsia"/>
        </w:rPr>
        <w:t>研讨后由公司执行董事审核批准。</w:t>
      </w:r>
    </w:p>
    <w:bookmarkEnd w:id="4"/>
    <w:bookmarkEnd w:id="5"/>
    <w:bookmarkEnd w:id="6"/>
    <w:bookmarkEnd w:id="7"/>
    <w:p>
      <w:pPr>
        <w:pStyle w:val="2"/>
      </w:pPr>
      <w:bookmarkStart w:id="29" w:name="_Toc22243"/>
      <w:bookmarkStart w:id="30" w:name="_Toc9082"/>
      <w:bookmarkStart w:id="31" w:name="_Toc2822"/>
      <w:bookmarkStart w:id="32" w:name="_Toc302"/>
      <w:bookmarkStart w:id="33" w:name="_Toc31649_WPSOffice_Level2"/>
      <w:bookmarkStart w:id="34" w:name="_Toc31377"/>
      <w:r>
        <w:rPr>
          <w:rFonts w:hint="eastAsia"/>
        </w:rPr>
        <w:t>第二章  基本情况</w:t>
      </w:r>
      <w:bookmarkEnd w:id="29"/>
      <w:bookmarkEnd w:id="30"/>
    </w:p>
    <w:p>
      <w:pPr>
        <w:pStyle w:val="3"/>
        <w:ind w:left="480"/>
      </w:pPr>
      <w:bookmarkStart w:id="35" w:name="_Toc23727"/>
      <w:bookmarkStart w:id="36" w:name="_Toc10473"/>
      <w:bookmarkStart w:id="37" w:name="_Toc7019"/>
      <w:bookmarkStart w:id="38" w:name="_Toc14484_WPSOffice_Level2"/>
      <w:bookmarkStart w:id="39" w:name="_Toc6656"/>
      <w:r>
        <w:rPr>
          <w:rFonts w:hint="eastAsia"/>
        </w:rPr>
        <w:t>一、公司基本情况</w:t>
      </w:r>
      <w:bookmarkEnd w:id="35"/>
      <w:bookmarkEnd w:id="36"/>
      <w:bookmarkEnd w:id="37"/>
      <w:bookmarkEnd w:id="38"/>
      <w:bookmarkEnd w:id="39"/>
    </w:p>
    <w:p>
      <w:pPr>
        <w:pStyle w:val="4"/>
        <w:bidi w:val="0"/>
        <w:ind w:firstLine="480" w:firstLineChars="200"/>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（一）公司简介</w:t>
      </w:r>
    </w:p>
    <w:p>
      <w:pPr>
        <w:ind w:firstLine="480"/>
        <w:rPr>
          <w:rFonts w:hint="eastAsia" w:ascii="宋体" w:hAnsi="宋体" w:eastAsia="宋体"/>
          <w:lang w:eastAsia="zh-CN"/>
        </w:rPr>
      </w:pPr>
      <w:r>
        <w:rPr>
          <w:rFonts w:hint="eastAsia" w:ascii="宋体" w:hAnsi="宋体"/>
        </w:rPr>
        <w:t>公司名称：</w:t>
      </w:r>
      <w:r>
        <w:rPr>
          <w:rFonts w:hint="eastAsia" w:ascii="宋体" w:hAnsi="宋体"/>
          <w:lang w:eastAsia="zh-CN"/>
        </w:rPr>
        <w:t>山东华拖农业装备有限公司</w:t>
      </w:r>
    </w:p>
    <w:p>
      <w:pPr>
        <w:ind w:firstLine="480"/>
        <w:rPr>
          <w:rFonts w:ascii="宋体" w:hAnsi="宋体"/>
        </w:rPr>
      </w:pPr>
      <w:r>
        <w:rPr>
          <w:rFonts w:hint="eastAsia" w:ascii="宋体" w:hAnsi="宋体"/>
        </w:rPr>
        <w:t>注册资本：</w:t>
      </w:r>
      <w:r>
        <w:rPr>
          <w:rFonts w:hint="eastAsia" w:ascii="宋体" w:hAnsi="宋体"/>
          <w:lang w:val="en-US" w:eastAsia="zh-CN"/>
        </w:rPr>
        <w:t>5000</w:t>
      </w:r>
      <w:r>
        <w:rPr>
          <w:rFonts w:hint="eastAsia" w:ascii="宋体" w:hAnsi="宋体"/>
        </w:rPr>
        <w:t>万元人民币</w:t>
      </w:r>
    </w:p>
    <w:p>
      <w:pPr>
        <w:tabs>
          <w:tab w:val="left" w:pos="6379"/>
        </w:tabs>
        <w:ind w:firstLine="480"/>
        <w:rPr>
          <w:rFonts w:ascii="宋体" w:hAnsi="宋体"/>
          <w:highlight w:val="none"/>
        </w:rPr>
      </w:pPr>
      <w:r>
        <w:rPr>
          <w:rFonts w:hint="eastAsia" w:ascii="宋体" w:hAnsi="宋体"/>
        </w:rPr>
        <w:t>实收资本：</w:t>
      </w:r>
      <w:r>
        <w:rPr>
          <w:rFonts w:hint="eastAsia" w:ascii="宋体" w:hAnsi="宋体"/>
          <w:highlight w:val="none"/>
          <w:lang w:val="en-US" w:eastAsia="zh-CN"/>
        </w:rPr>
        <w:t>220</w:t>
      </w:r>
      <w:r>
        <w:rPr>
          <w:rFonts w:hint="eastAsia" w:ascii="宋体" w:hAnsi="宋体"/>
          <w:highlight w:val="none"/>
        </w:rPr>
        <w:t>万元人民币</w:t>
      </w:r>
    </w:p>
    <w:p>
      <w:pPr>
        <w:tabs>
          <w:tab w:val="left" w:pos="6379"/>
        </w:tabs>
        <w:ind w:firstLine="480"/>
        <w:rPr>
          <w:rFonts w:hint="eastAsia" w:ascii="宋体" w:hAnsi="宋体" w:eastAsia="宋体"/>
          <w:lang w:eastAsia="zh-CN"/>
        </w:rPr>
      </w:pPr>
      <w:r>
        <w:rPr>
          <w:rFonts w:hint="eastAsia" w:ascii="宋体" w:hAnsi="宋体"/>
        </w:rPr>
        <w:t>法定代表人：</w:t>
      </w:r>
      <w:r>
        <w:rPr>
          <w:rFonts w:hint="eastAsia" w:ascii="宋体" w:hAnsi="宋体"/>
          <w:lang w:val="en-US" w:eastAsia="zh-CN"/>
        </w:rPr>
        <w:t>刘钊雷</w:t>
      </w:r>
    </w:p>
    <w:p>
      <w:pPr>
        <w:ind w:firstLine="480"/>
        <w:rPr>
          <w:rFonts w:hint="eastAsia" w:ascii="宋体" w:hAnsi="宋体"/>
        </w:rPr>
      </w:pPr>
      <w:r>
        <w:rPr>
          <w:rFonts w:hint="eastAsia" w:ascii="宋体" w:hAnsi="宋体"/>
        </w:rPr>
        <w:t>统一社会信用代码：91370704MA3NMM3P7R</w:t>
      </w:r>
    </w:p>
    <w:p>
      <w:pPr>
        <w:ind w:firstLine="480"/>
        <w:rPr>
          <w:rFonts w:hint="eastAsia" w:ascii="宋体" w:hAnsi="宋体"/>
        </w:rPr>
      </w:pPr>
      <w:r>
        <w:rPr>
          <w:rFonts w:hint="eastAsia" w:ascii="宋体" w:hAnsi="宋体"/>
        </w:rPr>
        <w:t>成立日期：2018-11-26</w:t>
      </w:r>
    </w:p>
    <w:p>
      <w:pPr>
        <w:ind w:firstLine="480"/>
        <w:rPr>
          <w:rFonts w:hint="eastAsia" w:ascii="宋体" w:hAnsi="宋体"/>
        </w:rPr>
      </w:pPr>
      <w:r>
        <w:rPr>
          <w:rFonts w:hint="eastAsia" w:ascii="宋体" w:hAnsi="宋体"/>
        </w:rPr>
        <w:t>住所： 山东省潍坊市坊子区坊城街办徐家大路村东首</w:t>
      </w:r>
    </w:p>
    <w:p>
      <w:pPr>
        <w:ind w:firstLine="480"/>
        <w:rPr>
          <w:rFonts w:hint="eastAsia" w:ascii="宋体" w:hAnsi="宋体"/>
        </w:rPr>
      </w:pPr>
      <w:r>
        <w:rPr>
          <w:rFonts w:hint="eastAsia" w:ascii="宋体" w:hAnsi="宋体"/>
        </w:rPr>
        <w:t>经营范围</w:t>
      </w:r>
      <w:bookmarkStart w:id="40" w:name="_Hlk22721649"/>
      <w:r>
        <w:rPr>
          <w:rFonts w:hint="eastAsia" w:ascii="宋体" w:hAnsi="宋体"/>
        </w:rPr>
        <w:t>：</w:t>
      </w:r>
      <w:bookmarkEnd w:id="40"/>
      <w:bookmarkStart w:id="41" w:name="_Hlk49386094"/>
      <w:r>
        <w:rPr>
          <w:rFonts w:hint="eastAsia" w:ascii="宋体" w:hAnsi="宋体"/>
        </w:rPr>
        <w:t>生产、销售：农用机械、工程机械及配件；销售：农用车、钢材；工程机械维修、出租；农用机械及工程机械的技术开发、转让、咨询服务；普通货运；货物或技术进出口（国家禁止或涉及行政审批的货物和技术进出口除外）。（依法须经批准的项目，经相关部门批准后方可开展经营活动）</w:t>
      </w:r>
    </w:p>
    <w:p>
      <w:pPr>
        <w:ind w:firstLine="480"/>
        <w:rPr>
          <w:rFonts w:hint="default" w:ascii="宋体" w:hAnsi="宋体" w:eastAsia="宋体"/>
          <w:highlight w:val="none"/>
          <w:lang w:val="en-US" w:eastAsia="zh-CN"/>
        </w:rPr>
      </w:pPr>
      <w:r>
        <w:rPr>
          <w:rFonts w:hint="eastAsia" w:ascii="宋体" w:hAnsi="宋体"/>
        </w:rPr>
        <w:t>主要产品：</w:t>
      </w:r>
      <w:r>
        <w:rPr>
          <w:rFonts w:hint="eastAsia" w:ascii="宋体" w:hAnsi="宋体"/>
          <w:lang w:eastAsia="zh-CN"/>
        </w:rPr>
        <w:t>农机设备及相关配件</w:t>
      </w:r>
      <w:r>
        <w:rPr>
          <w:rFonts w:hint="eastAsia" w:ascii="宋体" w:hAnsi="宋体" w:eastAsia="宋体"/>
          <w:highlight w:val="none"/>
          <w:lang w:val="en-US" w:eastAsia="zh-CN"/>
        </w:rPr>
        <w:t>等。</w:t>
      </w:r>
    </w:p>
    <w:p>
      <w:pPr>
        <w:ind w:firstLine="480"/>
        <w:rPr>
          <w:rFonts w:hint="eastAsia" w:ascii="宋体" w:hAnsi="宋体"/>
          <w:lang w:val="en-US" w:eastAsia="zh-CN"/>
        </w:rPr>
      </w:pPr>
      <w:r>
        <w:rPr>
          <w:rFonts w:hint="eastAsia" w:ascii="宋体" w:hAnsi="宋体"/>
        </w:rPr>
        <w:t>邮政编码：</w:t>
      </w:r>
      <w:r>
        <w:rPr>
          <w:rFonts w:hint="eastAsia" w:ascii="宋体" w:hAnsi="宋体"/>
          <w:lang w:val="en-US" w:eastAsia="zh-CN"/>
        </w:rPr>
        <w:t>261200</w:t>
      </w:r>
    </w:p>
    <w:p>
      <w:pPr>
        <w:ind w:firstLine="480"/>
        <w:rPr>
          <w:rFonts w:hint="default" w:ascii="宋体" w:hAnsi="宋体"/>
          <w:lang w:val="en-US" w:eastAsia="zh-CN"/>
        </w:rPr>
      </w:pPr>
      <w:r>
        <w:rPr>
          <w:rFonts w:hint="eastAsia" w:ascii="宋体" w:hAnsi="宋体"/>
        </w:rPr>
        <w:t>电子邮箱：</w:t>
      </w:r>
      <w:r>
        <w:rPr>
          <w:rFonts w:hint="eastAsia" w:ascii="宋体" w:hAnsi="宋体"/>
          <w:lang w:eastAsia="zh-CN"/>
        </w:rPr>
        <w:fldChar w:fldCharType="begin"/>
      </w:r>
      <w:r>
        <w:rPr>
          <w:rFonts w:hint="eastAsia" w:ascii="宋体" w:hAnsi="宋体"/>
          <w:lang w:eastAsia="zh-CN"/>
        </w:rPr>
        <w:instrText xml:space="preserve"> HYPERLINK "mailto:411293189@QQ.COM" </w:instrText>
      </w:r>
      <w:r>
        <w:rPr>
          <w:rFonts w:hint="eastAsia" w:ascii="宋体" w:hAnsi="宋体"/>
          <w:lang w:eastAsia="zh-CN"/>
        </w:rPr>
        <w:fldChar w:fldCharType="separate"/>
      </w:r>
      <w:r>
        <w:rPr>
          <w:rFonts w:hint="eastAsia" w:ascii="宋体" w:hAnsi="宋体"/>
          <w:lang w:eastAsia="zh-CN"/>
        </w:rPr>
        <w:t>411293189</w:t>
      </w:r>
      <w:r>
        <w:rPr>
          <w:rFonts w:hint="eastAsia" w:ascii="宋体" w:hAnsi="宋体"/>
          <w:lang w:val="en-US" w:eastAsia="zh-CN"/>
        </w:rPr>
        <w:t>@qq</w:t>
      </w:r>
      <w:r>
        <w:rPr>
          <w:rFonts w:hint="eastAsia" w:ascii="宋体" w:hAnsi="宋体"/>
          <w:lang w:eastAsia="zh-CN"/>
        </w:rPr>
        <w:t>.</w:t>
      </w:r>
      <w:r>
        <w:rPr>
          <w:rFonts w:hint="eastAsia" w:ascii="宋体" w:hAnsi="宋体"/>
          <w:lang w:val="en-US" w:eastAsia="zh-CN"/>
        </w:rPr>
        <w:t>c</w:t>
      </w:r>
      <w:r>
        <w:rPr>
          <w:rFonts w:hint="eastAsia" w:ascii="宋体" w:hAnsi="宋体"/>
          <w:lang w:eastAsia="zh-CN"/>
        </w:rPr>
        <w:fldChar w:fldCharType="end"/>
      </w:r>
      <w:r>
        <w:rPr>
          <w:rFonts w:hint="eastAsia" w:ascii="宋体" w:hAnsi="宋体"/>
          <w:lang w:val="en-US" w:eastAsia="zh-CN"/>
        </w:rPr>
        <w:t>om</w:t>
      </w:r>
    </w:p>
    <w:p>
      <w:pPr>
        <w:ind w:firstLine="480"/>
        <w:rPr>
          <w:rFonts w:hint="eastAsia" w:ascii="宋体" w:hAnsi="宋体"/>
          <w:color w:val="auto"/>
          <w:highlight w:val="none"/>
        </w:rPr>
      </w:pPr>
      <w:r>
        <w:rPr>
          <w:rFonts w:hint="eastAsia" w:ascii="宋体" w:hAnsi="宋体"/>
        </w:rPr>
        <w:t>电话</w:t>
      </w:r>
      <w:r>
        <w:rPr>
          <w:rFonts w:hint="eastAsia" w:ascii="宋体" w:hAnsi="宋体"/>
          <w:color w:val="auto"/>
          <w:highlight w:val="none"/>
        </w:rPr>
        <w:t>：16605365773</w:t>
      </w:r>
    </w:p>
    <w:p>
      <w:pPr>
        <w:ind w:firstLine="480"/>
        <w:rPr>
          <w:rFonts w:ascii="宋体" w:hAnsi="宋体"/>
          <w:color w:val="auto"/>
          <w:highlight w:val="none"/>
        </w:rPr>
      </w:pPr>
      <w:r>
        <w:rPr>
          <w:rFonts w:hint="eastAsia" w:ascii="宋体" w:hAnsi="宋体"/>
          <w:color w:val="auto"/>
          <w:highlight w:val="none"/>
        </w:rPr>
        <w:t>传真：无</w:t>
      </w:r>
    </w:p>
    <w:p>
      <w:pPr>
        <w:ind w:firstLine="480"/>
        <w:rPr>
          <w:rFonts w:hint="eastAsia"/>
          <w:color w:val="auto"/>
          <w:highlight w:val="none"/>
        </w:rPr>
      </w:pPr>
      <w:r>
        <w:rPr>
          <w:rFonts w:hint="eastAsia" w:ascii="宋体" w:hAnsi="宋体"/>
          <w:color w:val="auto"/>
          <w:highlight w:val="none"/>
        </w:rPr>
        <w:t>信息披露事务负责人：</w:t>
      </w:r>
      <w:r>
        <w:rPr>
          <w:rFonts w:hint="eastAsia"/>
          <w:color w:val="auto"/>
          <w:highlight w:val="none"/>
        </w:rPr>
        <w:t>谭洪霞</w:t>
      </w:r>
    </w:p>
    <w:p>
      <w:pPr>
        <w:ind w:firstLine="480"/>
        <w:rPr>
          <w:rFonts w:hint="default" w:ascii="宋体" w:hAnsi="宋体"/>
          <w:lang w:val="en-US" w:eastAsia="zh-CN"/>
        </w:rPr>
      </w:pPr>
      <w:r>
        <w:rPr>
          <w:rFonts w:hint="eastAsia" w:ascii="宋体" w:hAnsi="宋体"/>
          <w:lang w:val="en-US" w:eastAsia="zh-CN"/>
        </w:rPr>
        <w:t>山东华拖农业装备有限公司位于潍坊市坊子区，成立于2018年11月26日，是一家集科研、生产、营销于一体的现代化综合性企业。拥有专业的技术团队及销售团队。始终以为客户提供好的产品和技术支持、健全的售后服务为宗旨，以发展成为山东省及全国知名农机制造企业为发展目标。</w:t>
      </w:r>
    </w:p>
    <w:bookmarkEnd w:id="41"/>
    <w:p>
      <w:pPr>
        <w:pStyle w:val="3"/>
        <w:bidi w:val="0"/>
      </w:pPr>
      <w:bookmarkStart w:id="42" w:name="_Toc2130"/>
      <w:r>
        <w:rPr>
          <w:rFonts w:hint="eastAsia"/>
          <w:lang w:val="en-US" w:eastAsia="zh-CN"/>
        </w:rPr>
        <w:t>二</w:t>
      </w:r>
      <w:r>
        <w:rPr>
          <w:rFonts w:hint="eastAsia"/>
        </w:rPr>
        <w:t>、公司目前股权结构及股东情况</w:t>
      </w:r>
      <w:bookmarkEnd w:id="31"/>
      <w:bookmarkEnd w:id="32"/>
      <w:bookmarkEnd w:id="33"/>
      <w:bookmarkEnd w:id="34"/>
      <w:bookmarkEnd w:id="42"/>
    </w:p>
    <w:p>
      <w:pPr>
        <w:pStyle w:val="4"/>
        <w:bidi w:val="0"/>
        <w:ind w:firstLine="320" w:firstLineChars="100"/>
        <w:rPr>
          <w:b w:val="0"/>
          <w:bCs/>
        </w:rPr>
      </w:pPr>
      <w:bookmarkStart w:id="43" w:name="_Toc228505923"/>
      <w:bookmarkStart w:id="44" w:name="_Toc228431325"/>
      <w:bookmarkStart w:id="45" w:name="_Toc229469622"/>
      <w:bookmarkStart w:id="46" w:name="_Toc228433056"/>
      <w:r>
        <w:rPr>
          <w:rFonts w:hint="eastAsia"/>
          <w:b w:val="0"/>
          <w:bCs/>
        </w:rPr>
        <w:t>（一）股权结构</w:t>
      </w:r>
      <w:bookmarkEnd w:id="43"/>
      <w:bookmarkEnd w:id="44"/>
      <w:bookmarkEnd w:id="45"/>
      <w:bookmarkEnd w:id="46"/>
      <w:r>
        <w:rPr>
          <w:rFonts w:hint="eastAsia"/>
          <w:b w:val="0"/>
          <w:bCs/>
        </w:rPr>
        <w:t>图</w:t>
      </w:r>
      <w:bookmarkStart w:id="47" w:name="_Toc236206515"/>
      <w:bookmarkStart w:id="48" w:name="_Toc236113875"/>
      <w:bookmarkStart w:id="49" w:name="_Toc236113118"/>
    </w:p>
    <w:tbl>
      <w:tblPr>
        <w:tblStyle w:val="13"/>
        <w:tblpPr w:leftFromText="180" w:rightFromText="180" w:vertAnchor="text" w:horzAnchor="page" w:tblpX="1465" w:tblpY="306"/>
        <w:tblOverlap w:val="never"/>
        <w:tblW w:w="93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1457"/>
        <w:gridCol w:w="2524"/>
        <w:gridCol w:w="1126"/>
        <w:gridCol w:w="1092"/>
        <w:gridCol w:w="778"/>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trPr>
        <w:tc>
          <w:tcPr>
            <w:tcW w:w="623" w:type="dxa"/>
            <w:tcBorders>
              <w:top w:val="double" w:color="auto" w:sz="4" w:space="0"/>
              <w:left w:val="double" w:color="auto" w:sz="4" w:space="0"/>
              <w:right w:val="single" w:color="auto" w:sz="4" w:space="0"/>
            </w:tcBorders>
            <w:vAlign w:val="center"/>
          </w:tcPr>
          <w:p>
            <w:pPr>
              <w:jc w:val="center"/>
              <w:rPr>
                <w:rFonts w:ascii="宋体" w:hAnsi="宋体"/>
              </w:rPr>
            </w:pPr>
            <w:bookmarkStart w:id="50" w:name="_Hlk31887023"/>
            <w:r>
              <w:rPr>
                <w:rFonts w:hint="eastAsia" w:ascii="宋体" w:hAnsi="宋体"/>
              </w:rPr>
              <w:t>序号</w:t>
            </w:r>
          </w:p>
        </w:tc>
        <w:tc>
          <w:tcPr>
            <w:tcW w:w="1457" w:type="dxa"/>
            <w:tcBorders>
              <w:top w:val="doub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股东名称</w:t>
            </w:r>
          </w:p>
        </w:tc>
        <w:tc>
          <w:tcPr>
            <w:tcW w:w="2524" w:type="dxa"/>
            <w:tcBorders>
              <w:top w:val="doub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证件号码</w:t>
            </w:r>
          </w:p>
        </w:tc>
        <w:tc>
          <w:tcPr>
            <w:tcW w:w="1126" w:type="dxa"/>
            <w:tcBorders>
              <w:top w:val="doub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认缴出资额（万元）</w:t>
            </w:r>
          </w:p>
        </w:tc>
        <w:tc>
          <w:tcPr>
            <w:tcW w:w="1092" w:type="dxa"/>
            <w:tcBorders>
              <w:top w:val="doub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出资比例%</w:t>
            </w:r>
          </w:p>
        </w:tc>
        <w:tc>
          <w:tcPr>
            <w:tcW w:w="778" w:type="dxa"/>
            <w:tcBorders>
              <w:top w:val="doub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出资方式</w:t>
            </w:r>
          </w:p>
        </w:tc>
        <w:tc>
          <w:tcPr>
            <w:tcW w:w="1777" w:type="dxa"/>
            <w:tcBorders>
              <w:top w:val="double" w:color="auto" w:sz="4" w:space="0"/>
              <w:left w:val="single" w:color="auto" w:sz="4" w:space="0"/>
              <w:right w:val="double" w:color="auto" w:sz="4" w:space="0"/>
            </w:tcBorders>
            <w:vAlign w:val="center"/>
          </w:tcPr>
          <w:p>
            <w:pPr>
              <w:jc w:val="center"/>
              <w:rPr>
                <w:rFonts w:ascii="宋体" w:hAnsi="宋体"/>
              </w:rPr>
            </w:pPr>
            <w:r>
              <w:rPr>
                <w:rFonts w:hint="eastAsia" w:ascii="宋体" w:hAnsi="宋体"/>
              </w:rPr>
              <w:t>认缴出资时间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623" w:type="dxa"/>
            <w:tcBorders>
              <w:left w:val="double" w:color="auto" w:sz="4" w:space="0"/>
              <w:right w:val="single" w:color="auto" w:sz="4" w:space="0"/>
            </w:tcBorders>
            <w:vAlign w:val="center"/>
          </w:tcPr>
          <w:p>
            <w:pPr>
              <w:jc w:val="center"/>
              <w:rPr>
                <w:rFonts w:ascii="宋体" w:hAnsi="宋体"/>
              </w:rPr>
            </w:pPr>
            <w:r>
              <w:rPr>
                <w:rFonts w:hint="eastAsia" w:ascii="宋体" w:hAnsi="宋体"/>
              </w:rPr>
              <w:t>1</w:t>
            </w:r>
          </w:p>
        </w:tc>
        <w:tc>
          <w:tcPr>
            <w:tcW w:w="1457" w:type="dxa"/>
            <w:tcBorders>
              <w:left w:val="single" w:color="auto" w:sz="4" w:space="0"/>
              <w:right w:val="single" w:color="auto" w:sz="4" w:space="0"/>
            </w:tcBorders>
            <w:vAlign w:val="center"/>
          </w:tcPr>
          <w:p>
            <w:pPr>
              <w:jc w:val="center"/>
              <w:rPr>
                <w:rFonts w:hint="default" w:ascii="宋体" w:hAnsi="宋体" w:eastAsia="宋体"/>
                <w:lang w:val="en-US" w:eastAsia="zh-CN"/>
              </w:rPr>
            </w:pPr>
            <w:r>
              <w:rPr>
                <w:rFonts w:hint="default" w:ascii="宋体" w:hAnsi="宋体" w:eastAsia="宋体"/>
                <w:lang w:val="en-US" w:eastAsia="zh-CN"/>
              </w:rPr>
              <w:t>潍坊雷泰机械有限公司</w:t>
            </w:r>
          </w:p>
        </w:tc>
        <w:tc>
          <w:tcPr>
            <w:tcW w:w="2524" w:type="dxa"/>
            <w:tcBorders>
              <w:left w:val="single" w:color="auto" w:sz="4" w:space="0"/>
              <w:right w:val="single" w:color="auto" w:sz="4" w:space="0"/>
            </w:tcBorders>
            <w:vAlign w:val="center"/>
          </w:tcPr>
          <w:p>
            <w:pPr>
              <w:jc w:val="center"/>
              <w:rPr>
                <w:rFonts w:hint="default" w:ascii="宋体" w:hAnsi="宋体" w:eastAsia="宋体"/>
                <w:lang w:val="en-US" w:eastAsia="zh-CN"/>
              </w:rPr>
            </w:pPr>
            <w:r>
              <w:rPr>
                <w:rFonts w:hint="default" w:ascii="宋体" w:hAnsi="宋体" w:eastAsia="宋体"/>
                <w:lang w:val="en-US" w:eastAsia="zh-CN"/>
              </w:rPr>
              <w:t>913707040808507685</w:t>
            </w:r>
          </w:p>
        </w:tc>
        <w:tc>
          <w:tcPr>
            <w:tcW w:w="1126" w:type="dxa"/>
            <w:tcBorders>
              <w:left w:val="single" w:color="auto" w:sz="4" w:space="0"/>
              <w:right w:val="single" w:color="auto" w:sz="4" w:space="0"/>
            </w:tcBorders>
            <w:vAlign w:val="center"/>
          </w:tcPr>
          <w:p>
            <w:pPr>
              <w:jc w:val="center"/>
              <w:rPr>
                <w:rFonts w:hint="default" w:ascii="宋体" w:hAnsi="宋体" w:eastAsia="宋体"/>
                <w:lang w:val="en-US" w:eastAsia="zh-CN"/>
              </w:rPr>
            </w:pPr>
            <w:r>
              <w:rPr>
                <w:rFonts w:hint="eastAsia" w:ascii="宋体" w:hAnsi="宋体"/>
                <w:lang w:val="en-US" w:eastAsia="zh-CN"/>
              </w:rPr>
              <w:t>5000</w:t>
            </w:r>
          </w:p>
        </w:tc>
        <w:tc>
          <w:tcPr>
            <w:tcW w:w="1092" w:type="dxa"/>
            <w:tcBorders>
              <w:left w:val="single" w:color="auto" w:sz="4" w:space="0"/>
              <w:right w:val="single" w:color="auto" w:sz="4" w:space="0"/>
            </w:tcBorders>
            <w:vAlign w:val="center"/>
          </w:tcPr>
          <w:p>
            <w:pPr>
              <w:jc w:val="center"/>
              <w:rPr>
                <w:rFonts w:hint="default" w:ascii="宋体" w:hAnsi="宋体" w:eastAsia="宋体"/>
                <w:lang w:val="en-US" w:eastAsia="zh-CN"/>
              </w:rPr>
            </w:pPr>
            <w:r>
              <w:rPr>
                <w:rFonts w:hint="eastAsia" w:ascii="宋体" w:hAnsi="宋体"/>
                <w:lang w:val="en-US" w:eastAsia="zh-CN"/>
              </w:rPr>
              <w:t>100%</w:t>
            </w:r>
          </w:p>
        </w:tc>
        <w:tc>
          <w:tcPr>
            <w:tcW w:w="778" w:type="dxa"/>
            <w:tcBorders>
              <w:left w:val="single" w:color="auto" w:sz="4" w:space="0"/>
              <w:right w:val="single" w:color="auto" w:sz="4" w:space="0"/>
            </w:tcBorders>
            <w:vAlign w:val="center"/>
          </w:tcPr>
          <w:p>
            <w:pPr>
              <w:jc w:val="center"/>
              <w:rPr>
                <w:rFonts w:hint="default" w:ascii="宋体" w:hAnsi="宋体" w:eastAsia="宋体"/>
                <w:lang w:val="en-US" w:eastAsia="zh-CN"/>
              </w:rPr>
            </w:pPr>
            <w:r>
              <w:rPr>
                <w:rFonts w:hint="eastAsia" w:ascii="宋体" w:hAnsi="宋体"/>
                <w:lang w:val="en-US" w:eastAsia="zh-CN"/>
              </w:rPr>
              <w:t>货币</w:t>
            </w:r>
          </w:p>
        </w:tc>
        <w:tc>
          <w:tcPr>
            <w:tcW w:w="1777" w:type="dxa"/>
            <w:tcBorders>
              <w:left w:val="single" w:color="auto" w:sz="4" w:space="0"/>
              <w:right w:val="double" w:color="auto" w:sz="4" w:space="0"/>
            </w:tcBorders>
            <w:vAlign w:val="center"/>
          </w:tcPr>
          <w:p>
            <w:pPr>
              <w:jc w:val="center"/>
              <w:rPr>
                <w:rFonts w:hint="default" w:ascii="宋体" w:hAnsi="宋体" w:eastAsia="宋体"/>
                <w:lang w:val="en-US" w:eastAsia="zh-CN"/>
              </w:rPr>
            </w:pPr>
            <w:r>
              <w:rPr>
                <w:rFonts w:hint="default" w:ascii="宋体" w:hAnsi="宋体" w:eastAsia="宋体"/>
                <w:lang w:val="en-US" w:eastAsia="zh-CN"/>
              </w:rPr>
              <w:t>2038-11-21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080" w:type="dxa"/>
            <w:gridSpan w:val="2"/>
            <w:tcBorders>
              <w:left w:val="double" w:color="auto" w:sz="4" w:space="0"/>
              <w:right w:val="single" w:color="auto" w:sz="4" w:space="0"/>
            </w:tcBorders>
            <w:vAlign w:val="center"/>
          </w:tcPr>
          <w:p>
            <w:pPr>
              <w:jc w:val="center"/>
              <w:rPr>
                <w:rFonts w:ascii="宋体" w:hAnsi="宋体"/>
              </w:rPr>
            </w:pPr>
            <w:r>
              <w:rPr>
                <w:rFonts w:hint="eastAsia" w:ascii="宋体" w:hAnsi="宋体"/>
              </w:rPr>
              <w:t>合计</w:t>
            </w:r>
          </w:p>
        </w:tc>
        <w:tc>
          <w:tcPr>
            <w:tcW w:w="2524" w:type="dxa"/>
            <w:tcBorders>
              <w:left w:val="single" w:color="auto" w:sz="4" w:space="0"/>
              <w:right w:val="single" w:color="auto" w:sz="4" w:space="0"/>
            </w:tcBorders>
            <w:vAlign w:val="center"/>
          </w:tcPr>
          <w:p>
            <w:pPr>
              <w:jc w:val="center"/>
              <w:rPr>
                <w:rFonts w:ascii="宋体" w:hAnsi="宋体"/>
              </w:rPr>
            </w:pPr>
            <w:r>
              <w:rPr>
                <w:rFonts w:hint="eastAsia" w:ascii="宋体" w:hAnsi="宋体"/>
              </w:rPr>
              <w:t>-</w:t>
            </w:r>
          </w:p>
        </w:tc>
        <w:tc>
          <w:tcPr>
            <w:tcW w:w="1126" w:type="dxa"/>
            <w:tcBorders>
              <w:left w:val="single" w:color="auto" w:sz="4" w:space="0"/>
              <w:right w:val="single" w:color="auto" w:sz="4" w:space="0"/>
            </w:tcBorders>
            <w:vAlign w:val="center"/>
          </w:tcPr>
          <w:p>
            <w:pPr>
              <w:jc w:val="center"/>
              <w:rPr>
                <w:rFonts w:hint="default" w:ascii="宋体" w:hAnsi="宋体" w:eastAsia="宋体"/>
                <w:lang w:val="en-US" w:eastAsia="zh-CN"/>
              </w:rPr>
            </w:pPr>
            <w:r>
              <w:rPr>
                <w:rFonts w:hint="eastAsia" w:ascii="宋体" w:hAnsi="宋体"/>
                <w:lang w:val="en-US" w:eastAsia="zh-CN"/>
              </w:rPr>
              <w:t>5000</w:t>
            </w:r>
          </w:p>
        </w:tc>
        <w:tc>
          <w:tcPr>
            <w:tcW w:w="1092" w:type="dxa"/>
            <w:tcBorders>
              <w:left w:val="single" w:color="auto" w:sz="4" w:space="0"/>
              <w:right w:val="single" w:color="auto" w:sz="4" w:space="0"/>
            </w:tcBorders>
            <w:vAlign w:val="center"/>
          </w:tcPr>
          <w:p>
            <w:pPr>
              <w:jc w:val="center"/>
              <w:rPr>
                <w:rFonts w:hint="eastAsia" w:ascii="宋体" w:hAnsi="宋体" w:eastAsia="宋体"/>
                <w:lang w:val="en-US" w:eastAsia="zh-CN"/>
              </w:rPr>
            </w:pPr>
            <w:r>
              <w:rPr>
                <w:rFonts w:hint="eastAsia" w:ascii="宋体" w:hAnsi="宋体"/>
              </w:rPr>
              <w:t>100</w:t>
            </w:r>
            <w:r>
              <w:rPr>
                <w:rFonts w:hint="eastAsia" w:ascii="宋体" w:hAnsi="宋体"/>
                <w:lang w:val="en-US" w:eastAsia="zh-CN"/>
              </w:rPr>
              <w:t>%</w:t>
            </w:r>
          </w:p>
        </w:tc>
        <w:tc>
          <w:tcPr>
            <w:tcW w:w="778" w:type="dxa"/>
            <w:tcBorders>
              <w:left w:val="single" w:color="auto" w:sz="4" w:space="0"/>
              <w:right w:val="single" w:color="auto" w:sz="4" w:space="0"/>
            </w:tcBorders>
            <w:vAlign w:val="center"/>
          </w:tcPr>
          <w:p>
            <w:pPr>
              <w:jc w:val="center"/>
              <w:rPr>
                <w:rFonts w:ascii="宋体" w:hAnsi="宋体"/>
              </w:rPr>
            </w:pPr>
            <w:r>
              <w:rPr>
                <w:rFonts w:hint="eastAsia" w:ascii="宋体" w:hAnsi="宋体"/>
              </w:rPr>
              <w:t>-</w:t>
            </w:r>
          </w:p>
        </w:tc>
        <w:tc>
          <w:tcPr>
            <w:tcW w:w="1777" w:type="dxa"/>
            <w:tcBorders>
              <w:left w:val="single" w:color="auto" w:sz="4" w:space="0"/>
              <w:right w:val="double" w:color="auto" w:sz="4" w:space="0"/>
            </w:tcBorders>
            <w:vAlign w:val="center"/>
          </w:tcPr>
          <w:p>
            <w:pPr>
              <w:jc w:val="center"/>
              <w:rPr>
                <w:rFonts w:ascii="宋体" w:hAnsi="宋体"/>
              </w:rPr>
            </w:pPr>
            <w:r>
              <w:rPr>
                <w:rFonts w:hint="eastAsia" w:ascii="宋体" w:hAnsi="宋体"/>
              </w:rPr>
              <w:t>-</w:t>
            </w:r>
          </w:p>
        </w:tc>
      </w:tr>
      <w:bookmarkEnd w:id="50"/>
    </w:tbl>
    <w:p>
      <w:pPr>
        <w:ind w:firstLine="480"/>
        <w:rPr>
          <w:rFonts w:hint="eastAsia" w:ascii="宋体" w:hAnsi="宋体" w:eastAsia="宋体"/>
          <w:lang w:eastAsia="zh-CN"/>
        </w:rPr>
      </w:pPr>
    </w:p>
    <w:p>
      <w:pPr>
        <w:ind w:firstLine="480"/>
        <w:rPr>
          <w:rFonts w:hint="eastAsia" w:ascii="宋体" w:hAnsi="宋体" w:eastAsia="宋体"/>
          <w:lang w:eastAsia="zh-CN"/>
        </w:rPr>
      </w:pPr>
      <w:r>
        <w:rPr>
          <w:sz w:val="24"/>
        </w:rPr>
        <mc:AlternateContent>
          <mc:Choice Requires="wps">
            <w:drawing>
              <wp:anchor distT="0" distB="0" distL="114300" distR="114300" simplePos="0" relativeHeight="251659264" behindDoc="0" locked="0" layoutInCell="1" allowOverlap="1">
                <wp:simplePos x="0" y="0"/>
                <wp:positionH relativeFrom="column">
                  <wp:posOffset>2375535</wp:posOffset>
                </wp:positionH>
                <wp:positionV relativeFrom="paragraph">
                  <wp:posOffset>1144905</wp:posOffset>
                </wp:positionV>
                <wp:extent cx="657860" cy="361950"/>
                <wp:effectExtent l="4445" t="4445" r="23495" b="14605"/>
                <wp:wrapNone/>
                <wp:docPr id="3" name="文本框 3"/>
                <wp:cNvGraphicFramePr/>
                <a:graphic xmlns:a="http://schemas.openxmlformats.org/drawingml/2006/main">
                  <a:graphicData uri="http://schemas.microsoft.com/office/word/2010/wordprocessingShape">
                    <wps:wsp>
                      <wps:cNvSpPr txBox="1"/>
                      <wps:spPr>
                        <a:xfrm>
                          <a:off x="3499485" y="3240405"/>
                          <a:ext cx="657860" cy="361950"/>
                        </a:xfrm>
                        <a:prstGeom prst="rect">
                          <a:avLst/>
                        </a:prstGeom>
                        <a:solidFill>
                          <a:schemeClr val="accent1"/>
                        </a:solidFill>
                        <a:ln w="6350">
                          <a:solidFill>
                            <a:schemeClr val="accent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100%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7.05pt;margin-top:90.15pt;height:28.5pt;width:51.8pt;z-index:251659264;mso-width-relative:page;mso-height-relative:page;" fillcolor="#4472C4 [3204]" filled="t" stroked="t" coordsize="21600,21600" o:gfxdata="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R9zg9dkAAAALAQAADwAAAAAAAAABACAAAAAiAAAAZHJzL2Rvd25yZXYueG1sUEsBAhQAFAAAAAgA&#10;h07iQIeJ5ahdAgAAwwQAAA4AAAAAAAAAAQAgAAAAKAEAAGRycy9lMm9Eb2MueG1sUEsFBgAAAAAG&#10;AAYAWQEAAPcFAAAAAA==&#10;">
                <v:fill on="t" focussize="0,0"/>
                <v:stroke weight="0.5pt" color="#4472C4 [3204]" joinstyle="round"/>
                <v:imagedata o:title=""/>
                <o:lock v:ext="edit" aspectratio="f"/>
                <v:textbox>
                  <w:txbxContent>
                    <w:p>
                      <w:pPr>
                        <w:jc w:val="center"/>
                        <w:rPr>
                          <w:rFonts w:hint="default" w:eastAsia="宋体"/>
                          <w:lang w:val="en-US" w:eastAsia="zh-CN"/>
                        </w:rPr>
                      </w:pPr>
                      <w:r>
                        <w:rPr>
                          <w:rFonts w:hint="eastAsia"/>
                          <w:lang w:val="en-US" w:eastAsia="zh-CN"/>
                        </w:rPr>
                        <w:t>100%</w:t>
                      </w:r>
                    </w:p>
                  </w:txbxContent>
                </v:textbox>
              </v:shape>
            </w:pict>
          </mc:Fallback>
        </mc:AlternateContent>
      </w:r>
      <w:r>
        <w:rPr>
          <w:rFonts w:hint="eastAsia" w:ascii="宋体" w:hAnsi="宋体" w:eastAsia="宋体"/>
          <w:lang w:eastAsia="zh-CN"/>
        </w:rPr>
        <w:drawing>
          <wp:inline distT="0" distB="0" distL="114300" distR="114300">
            <wp:extent cx="4755515" cy="2476500"/>
            <wp:effectExtent l="4445" t="4445" r="21590"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ind w:firstLine="480"/>
        <w:rPr>
          <w:rFonts w:hint="eastAsia" w:ascii="宋体" w:hAnsi="宋体" w:eastAsia="宋体"/>
          <w:lang w:eastAsia="zh-CN"/>
        </w:rPr>
      </w:pPr>
    </w:p>
    <w:p>
      <w:pPr>
        <w:pStyle w:val="4"/>
        <w:numPr>
          <w:ilvl w:val="0"/>
          <w:numId w:val="0"/>
        </w:numPr>
        <w:bidi w:val="0"/>
        <w:ind w:firstLine="480" w:firstLineChars="200"/>
        <w:rPr>
          <w:rFonts w:hint="eastAsia" w:ascii="宋体" w:hAnsi="宋体" w:eastAsia="宋体" w:cs="Times New Roman"/>
          <w:b w:val="0"/>
          <w:bCs w:val="0"/>
          <w:kern w:val="0"/>
          <w:sz w:val="24"/>
          <w:szCs w:val="24"/>
          <w:lang w:val="en-US" w:eastAsia="zh-CN" w:bidi="ar-SA"/>
        </w:rPr>
      </w:pPr>
      <w:r>
        <w:rPr>
          <w:rFonts w:hint="eastAsia" w:ascii="宋体" w:hAnsi="宋体" w:eastAsia="宋体" w:cs="Times New Roman"/>
          <w:b w:val="0"/>
          <w:bCs w:val="0"/>
          <w:kern w:val="0"/>
          <w:sz w:val="24"/>
          <w:szCs w:val="24"/>
          <w:lang w:val="en-US" w:eastAsia="zh-CN" w:bidi="ar-SA"/>
        </w:rPr>
        <w:t>公司股东为于中国境内拥有</w:t>
      </w:r>
      <w:r>
        <w:rPr>
          <w:rFonts w:hint="eastAsia" w:ascii="宋体" w:hAnsi="宋体" w:cs="Times New Roman"/>
          <w:b w:val="0"/>
          <w:bCs w:val="0"/>
          <w:kern w:val="0"/>
          <w:sz w:val="24"/>
          <w:szCs w:val="24"/>
          <w:lang w:val="en-US" w:eastAsia="zh-CN" w:bidi="ar-SA"/>
        </w:rPr>
        <w:t>经营场所</w:t>
      </w:r>
      <w:r>
        <w:rPr>
          <w:rFonts w:hint="eastAsia" w:ascii="宋体" w:hAnsi="宋体" w:eastAsia="宋体" w:cs="Times New Roman"/>
          <w:b w:val="0"/>
          <w:bCs w:val="0"/>
          <w:kern w:val="0"/>
          <w:sz w:val="24"/>
          <w:szCs w:val="24"/>
          <w:lang w:val="en-US" w:eastAsia="zh-CN" w:bidi="ar-SA"/>
        </w:rPr>
        <w:t>的法人</w:t>
      </w:r>
      <w:r>
        <w:rPr>
          <w:rFonts w:hint="eastAsia" w:ascii="宋体" w:hAnsi="宋体" w:cs="Times New Roman"/>
          <w:b w:val="0"/>
          <w:bCs w:val="0"/>
          <w:kern w:val="0"/>
          <w:sz w:val="24"/>
          <w:szCs w:val="24"/>
          <w:lang w:val="en-US" w:eastAsia="zh-CN" w:bidi="ar-SA"/>
        </w:rPr>
        <w:t>机构</w:t>
      </w:r>
      <w:r>
        <w:rPr>
          <w:rFonts w:hint="eastAsia" w:ascii="宋体" w:hAnsi="宋体" w:eastAsia="宋体" w:cs="Times New Roman"/>
          <w:b w:val="0"/>
          <w:bCs w:val="0"/>
          <w:kern w:val="0"/>
          <w:sz w:val="24"/>
          <w:szCs w:val="24"/>
          <w:lang w:val="en-US" w:eastAsia="zh-CN" w:bidi="ar-SA"/>
        </w:rPr>
        <w:t>，具有完全民事权利能力和完全民事行为能力，共计持有公司100%的股权，符合《公司法》、《中华人民共和国公司登记管理条例》等法律、行政法规和规范性文件规定的担任股东的资格。公司控股股东</w:t>
      </w:r>
      <w:bookmarkEnd w:id="47"/>
      <w:bookmarkEnd w:id="48"/>
      <w:bookmarkEnd w:id="49"/>
      <w:r>
        <w:rPr>
          <w:rFonts w:hint="eastAsia" w:ascii="宋体" w:hAnsi="宋体" w:eastAsia="宋体" w:cs="Times New Roman"/>
          <w:b w:val="0"/>
          <w:bCs w:val="0"/>
          <w:kern w:val="0"/>
          <w:sz w:val="24"/>
          <w:szCs w:val="24"/>
          <w:lang w:val="en-US" w:eastAsia="zh-CN" w:bidi="ar-SA"/>
        </w:rPr>
        <w:t>、实际控制人情况</w:t>
      </w:r>
    </w:p>
    <w:p>
      <w:pPr>
        <w:pStyle w:val="4"/>
        <w:numPr>
          <w:ilvl w:val="0"/>
          <w:numId w:val="0"/>
        </w:numPr>
        <w:bidi w:val="0"/>
        <w:rPr>
          <w:b w:val="0"/>
          <w:bCs/>
        </w:rPr>
      </w:pPr>
      <w:r>
        <w:rPr>
          <w:rFonts w:hint="eastAsia"/>
          <w:b w:val="0"/>
          <w:bCs/>
          <w:lang w:val="en-US" w:eastAsia="zh-CN"/>
        </w:rPr>
        <w:t xml:space="preserve">   （二）</w:t>
      </w:r>
      <w:r>
        <w:rPr>
          <w:rFonts w:hint="eastAsia"/>
          <w:b w:val="0"/>
          <w:bCs/>
        </w:rPr>
        <w:t>公司控股股东、实际控制人情况</w:t>
      </w:r>
    </w:p>
    <w:p>
      <w:pPr>
        <w:ind w:firstLine="480"/>
        <w:rPr>
          <w:rFonts w:ascii="宋体" w:hAnsi="宋体"/>
          <w:kern w:val="0"/>
        </w:rPr>
      </w:pPr>
      <w:bookmarkStart w:id="51" w:name="_Hlk31887051"/>
      <w:r>
        <w:rPr>
          <w:rFonts w:hint="eastAsia" w:ascii="宋体" w:hAnsi="宋体"/>
          <w:kern w:val="0"/>
        </w:rPr>
        <w:t>根据公司的工商登记材料和股权穿透，</w:t>
      </w:r>
      <w:r>
        <w:rPr>
          <w:rFonts w:hint="eastAsia" w:ascii="宋体" w:hAnsi="宋体"/>
          <w:kern w:val="0"/>
          <w:lang w:val="en-US" w:eastAsia="zh-CN"/>
        </w:rPr>
        <w:t>具备公司控股股东地位的</w:t>
      </w:r>
      <w:r>
        <w:rPr>
          <w:rFonts w:hint="eastAsia" w:ascii="宋体" w:hAnsi="宋体"/>
          <w:kern w:val="0"/>
        </w:rPr>
        <w:t>法人</w:t>
      </w:r>
      <w:r>
        <w:rPr>
          <w:rFonts w:hint="default" w:ascii="宋体" w:hAnsi="宋体" w:eastAsia="宋体"/>
          <w:lang w:val="en-US" w:eastAsia="zh-CN"/>
        </w:rPr>
        <w:t>潍坊雷泰机械有限公司</w:t>
      </w:r>
      <w:r>
        <w:rPr>
          <w:rFonts w:hint="eastAsia" w:ascii="宋体" w:hAnsi="宋体"/>
          <w:kern w:val="0"/>
          <w:lang w:eastAsia="zh-CN"/>
        </w:rPr>
        <w:t>，</w:t>
      </w:r>
      <w:r>
        <w:rPr>
          <w:rFonts w:hint="eastAsia" w:ascii="宋体" w:hAnsi="宋体"/>
          <w:kern w:val="0"/>
          <w:lang w:val="en-US" w:eastAsia="zh-CN"/>
        </w:rPr>
        <w:t>其法人股东的实际控制人刘钊雷虽非公司内部股东，但通过股权穿透</w:t>
      </w:r>
      <w:r>
        <w:rPr>
          <w:rFonts w:hint="eastAsia" w:ascii="宋体" w:hAnsi="宋体"/>
          <w:kern w:val="0"/>
        </w:rPr>
        <w:t>持有本公司</w:t>
      </w:r>
      <w:r>
        <w:rPr>
          <w:rFonts w:hint="eastAsia" w:ascii="宋体" w:hAnsi="宋体"/>
          <w:kern w:val="0"/>
          <w:lang w:val="en-US" w:eastAsia="zh-CN"/>
        </w:rPr>
        <w:t>80%</w:t>
      </w:r>
      <w:r>
        <w:rPr>
          <w:rFonts w:hint="eastAsia" w:ascii="宋体" w:hAnsi="宋体"/>
          <w:kern w:val="0"/>
        </w:rPr>
        <w:t>的股权</w:t>
      </w:r>
      <w:r>
        <w:rPr>
          <w:rFonts w:hint="eastAsia" w:ascii="宋体" w:hAnsi="宋体"/>
          <w:kern w:val="0"/>
          <w:lang w:eastAsia="zh-CN"/>
        </w:rPr>
        <w:t>，</w:t>
      </w:r>
      <w:r>
        <w:rPr>
          <w:rFonts w:hint="eastAsia" w:ascii="宋体" w:hAnsi="宋体"/>
          <w:kern w:val="0"/>
        </w:rPr>
        <w:t>对公司的发展战略等重大决策事项具有决定性影响力，所以本推荐机构认定</w:t>
      </w:r>
      <w:r>
        <w:rPr>
          <w:rFonts w:hint="eastAsia" w:ascii="宋体" w:hAnsi="宋体"/>
          <w:kern w:val="0"/>
          <w:lang w:eastAsia="zh-CN"/>
        </w:rPr>
        <w:t>潍坊雷泰机械有限公司</w:t>
      </w:r>
      <w:r>
        <w:rPr>
          <w:rFonts w:hint="eastAsia" w:ascii="宋体" w:hAnsi="宋体"/>
          <w:kern w:val="0"/>
        </w:rPr>
        <w:t>为公司的控股股东</w:t>
      </w:r>
      <w:r>
        <w:rPr>
          <w:rFonts w:hint="eastAsia" w:ascii="宋体" w:hAnsi="宋体"/>
          <w:kern w:val="0"/>
          <w:lang w:eastAsia="zh-CN"/>
        </w:rPr>
        <w:t>，</w:t>
      </w:r>
      <w:r>
        <w:rPr>
          <w:rFonts w:hint="eastAsia" w:ascii="宋体" w:hAnsi="宋体"/>
          <w:kern w:val="0"/>
          <w:lang w:val="en-US" w:eastAsia="zh-CN"/>
        </w:rPr>
        <w:t>王如冬为公司的</w:t>
      </w:r>
      <w:r>
        <w:rPr>
          <w:rFonts w:hint="eastAsia" w:ascii="宋体" w:hAnsi="宋体"/>
          <w:kern w:val="0"/>
        </w:rPr>
        <w:t>实际控制人。</w:t>
      </w:r>
    </w:p>
    <w:bookmarkEnd w:id="51"/>
    <w:p>
      <w:pPr>
        <w:ind w:firstLine="480" w:firstLineChars="200"/>
        <w:rPr>
          <w:rFonts w:hint="default" w:ascii="宋体" w:hAnsi="宋体" w:eastAsia="宋体"/>
          <w:kern w:val="0"/>
          <w:lang w:val="en-US" w:eastAsia="zh-CN"/>
        </w:rPr>
      </w:pPr>
      <w:bookmarkStart w:id="52" w:name="_Toc27351"/>
      <w:bookmarkStart w:id="53" w:name="_Toc19383"/>
      <w:bookmarkStart w:id="54" w:name="_Toc13055"/>
      <w:r>
        <w:rPr>
          <w:rFonts w:hint="default" w:ascii="宋体" w:hAnsi="宋体" w:eastAsia="宋体"/>
          <w:lang w:val="en-US" w:eastAsia="zh-CN"/>
        </w:rPr>
        <w:t>潍坊雷泰机械有限公司</w:t>
      </w:r>
      <w:r>
        <w:rPr>
          <w:rFonts w:hint="eastAsia" w:ascii="宋体" w:hAnsi="宋体"/>
          <w:lang w:val="en-US" w:eastAsia="zh-CN"/>
        </w:rPr>
        <w:t>成立于2013年10月12日，注册资本200万元人民币，主要从事</w:t>
      </w:r>
      <w:r>
        <w:rPr>
          <w:rFonts w:hint="eastAsia" w:ascii="宋体" w:hAnsi="宋体"/>
          <w:kern w:val="0"/>
        </w:rPr>
        <w:t>环保设备的制造、销售和安装</w:t>
      </w:r>
      <w:r>
        <w:rPr>
          <w:rFonts w:hint="eastAsia" w:ascii="宋体" w:hAnsi="宋体"/>
          <w:kern w:val="0"/>
          <w:lang w:eastAsia="zh-CN"/>
        </w:rPr>
        <w:t>及设备零部件的</w:t>
      </w:r>
      <w:r>
        <w:rPr>
          <w:rFonts w:hint="eastAsia" w:ascii="宋体" w:hAnsi="宋体"/>
          <w:kern w:val="0"/>
        </w:rPr>
        <w:t>电泳、喷漆及涂装加工</w:t>
      </w:r>
      <w:r>
        <w:rPr>
          <w:rFonts w:hint="eastAsia" w:ascii="宋体" w:hAnsi="宋体"/>
          <w:kern w:val="0"/>
          <w:lang w:eastAsia="zh-CN"/>
        </w:rPr>
        <w:t>等业务，</w:t>
      </w:r>
      <w:r>
        <w:rPr>
          <w:rFonts w:hint="eastAsia" w:ascii="宋体" w:hAnsi="宋体"/>
          <w:kern w:val="0"/>
          <w:lang w:val="en-US" w:eastAsia="zh-CN"/>
        </w:rPr>
        <w:t>2018年投资成立山东华拖农业设备有限公司，目前为公司持股100%的控股股东。</w:t>
      </w:r>
    </w:p>
    <w:p>
      <w:pPr>
        <w:ind w:firstLine="480" w:firstLineChars="200"/>
        <w:rPr>
          <w:highlight w:val="none"/>
        </w:rPr>
      </w:pPr>
      <w:r>
        <w:rPr>
          <w:rFonts w:hint="eastAsia"/>
          <w:highlight w:val="none"/>
          <w:lang w:eastAsia="zh-CN"/>
        </w:rPr>
        <w:t>刘钊雷</w:t>
      </w:r>
      <w:r>
        <w:rPr>
          <w:rFonts w:hint="eastAsia"/>
          <w:highlight w:val="none"/>
        </w:rPr>
        <w:t>，</w:t>
      </w:r>
      <w:r>
        <w:rPr>
          <w:rFonts w:hint="eastAsia"/>
          <w:highlight w:val="none"/>
          <w:lang w:eastAsia="zh-CN"/>
        </w:rPr>
        <w:t>男，</w:t>
      </w:r>
      <w:r>
        <w:rPr>
          <w:rFonts w:hint="eastAsia"/>
          <w:highlight w:val="none"/>
          <w:lang w:val="en-US" w:eastAsia="zh-CN"/>
        </w:rPr>
        <w:t>46</w:t>
      </w:r>
      <w:r>
        <w:rPr>
          <w:rFonts w:hint="eastAsia"/>
          <w:highlight w:val="none"/>
        </w:rPr>
        <w:t>岁，汉族，毕业于</w:t>
      </w:r>
      <w:r>
        <w:rPr>
          <w:rFonts w:hint="eastAsia"/>
          <w:highlight w:val="none"/>
          <w:lang w:eastAsia="zh-CN"/>
        </w:rPr>
        <w:t>山东农业大学，本科学历，</w:t>
      </w:r>
      <w:r>
        <w:rPr>
          <w:rFonts w:hint="eastAsia"/>
          <w:highlight w:val="none"/>
        </w:rPr>
        <w:t>中华人民共和国国籍，无境外永久居留权，</w:t>
      </w:r>
      <w:r>
        <w:rPr>
          <w:rFonts w:hint="eastAsia"/>
          <w:highlight w:val="none"/>
          <w:lang w:val="en-US" w:eastAsia="zh-CN"/>
        </w:rPr>
        <w:t>1998年就职于潍坊百货集团有限公司，担任市场顾问。2006年就职于山东弘宇农机股份有限公司，担任采购部门经理，</w:t>
      </w:r>
      <w:bookmarkEnd w:id="52"/>
      <w:bookmarkEnd w:id="53"/>
      <w:bookmarkEnd w:id="54"/>
      <w:r>
        <w:rPr>
          <w:rFonts w:hint="eastAsia"/>
          <w:highlight w:val="none"/>
          <w:lang w:val="en-US" w:eastAsia="zh-CN"/>
        </w:rPr>
        <w:t>2018创办山东华拖农业装备有限公司，担任法定代表人、执行董事兼总经理</w:t>
      </w:r>
      <w:r>
        <w:rPr>
          <w:rFonts w:hint="eastAsia"/>
          <w:highlight w:val="none"/>
          <w:lang w:eastAsia="zh-CN"/>
        </w:rPr>
        <w:t>，</w:t>
      </w:r>
      <w:r>
        <w:rPr>
          <w:rFonts w:hint="eastAsia"/>
          <w:highlight w:val="none"/>
          <w:lang w:val="en-US" w:eastAsia="zh-CN"/>
        </w:rPr>
        <w:t>目前通过股权穿透间接持有公司80%股权。</w:t>
      </w:r>
    </w:p>
    <w:p>
      <w:pPr>
        <w:pStyle w:val="3"/>
        <w:ind w:left="0" w:leftChars="0" w:firstLine="562" w:firstLineChars="200"/>
        <w:jc w:val="left"/>
      </w:pPr>
      <w:bookmarkStart w:id="55" w:name="_Toc24476"/>
      <w:r>
        <w:rPr>
          <w:rFonts w:hint="eastAsia"/>
          <w:lang w:val="en-US" w:eastAsia="zh-CN"/>
        </w:rPr>
        <w:t>三</w:t>
      </w:r>
      <w:r>
        <w:rPr>
          <w:rFonts w:hint="eastAsia"/>
        </w:rPr>
        <w:t>、公司组织结构</w:t>
      </w:r>
      <w:bookmarkEnd w:id="55"/>
    </w:p>
    <w:p>
      <w:pPr>
        <w:rPr>
          <w:rFonts w:ascii="宋体" w:hAnsi="宋体" w:cs="宋体"/>
          <w:kern w:val="0"/>
          <w:lang w:bidi="ar"/>
        </w:rPr>
      </w:pPr>
      <w:r>
        <w:drawing>
          <wp:inline distT="0" distB="0" distL="114300" distR="114300">
            <wp:extent cx="5270500" cy="2958465"/>
            <wp:effectExtent l="0" t="0" r="6350" b="1333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9"/>
                    <a:stretch>
                      <a:fillRect/>
                    </a:stretch>
                  </pic:blipFill>
                  <pic:spPr>
                    <a:xfrm>
                      <a:off x="0" y="0"/>
                      <a:ext cx="5270500" cy="2958465"/>
                    </a:xfrm>
                    <a:prstGeom prst="rect">
                      <a:avLst/>
                    </a:prstGeom>
                    <a:noFill/>
                    <a:ln>
                      <a:noFill/>
                    </a:ln>
                  </pic:spPr>
                </pic:pic>
              </a:graphicData>
            </a:graphic>
          </wp:inline>
        </w:drawing>
      </w:r>
    </w:p>
    <w:p>
      <w:pPr>
        <w:pStyle w:val="3"/>
        <w:numPr>
          <w:ilvl w:val="0"/>
          <w:numId w:val="0"/>
        </w:numPr>
        <w:ind w:firstLine="562" w:firstLineChars="200"/>
        <w:rPr>
          <w:rFonts w:hint="eastAsia"/>
        </w:rPr>
      </w:pPr>
      <w:bookmarkStart w:id="56" w:name="_Toc27437"/>
      <w:bookmarkStart w:id="81" w:name="_GoBack"/>
      <w:bookmarkEnd w:id="81"/>
      <w:r>
        <w:rPr>
          <w:rFonts w:hint="eastAsia"/>
          <w:lang w:val="en-US" w:eastAsia="zh-CN"/>
        </w:rPr>
        <w:t>四、</w:t>
      </w:r>
      <w:r>
        <w:rPr>
          <w:rFonts w:hint="eastAsia"/>
        </w:rPr>
        <w:t>公司主营业务情况</w:t>
      </w:r>
      <w:bookmarkEnd w:id="56"/>
    </w:p>
    <w:p>
      <w:pPr>
        <w:bidi w:val="0"/>
        <w:ind w:firstLine="480" w:firstLineChars="200"/>
      </w:pPr>
      <w:r>
        <w:rPr>
          <w:rFonts w:hint="eastAsia"/>
        </w:rPr>
        <w:t>（一）主要产品内容</w:t>
      </w:r>
    </w:p>
    <w:p>
      <w:pPr>
        <w:ind w:firstLine="480" w:firstLineChars="200"/>
        <w:jc w:val="left"/>
        <w:rPr>
          <w:rFonts w:hint="eastAsia" w:ascii="宋体" w:hAnsi="宋体"/>
        </w:rPr>
      </w:pPr>
      <w:r>
        <w:rPr>
          <w:rFonts w:hint="eastAsia" w:ascii="宋体" w:hAnsi="宋体"/>
        </w:rPr>
        <w:t>山东华拖农业装备有限公司位于潍坊市坊子区，成立于2018年11月26日，是一家集科研、生产、营销于一体的现代化综合性企业。拥有专业的技术团队及销售团队。始终以为客户提供好的产品和技术支持、健全的售后服务为宗旨，以发展成为山东省及全国知名农机制造企业为发展目标。</w:t>
      </w:r>
    </w:p>
    <w:p>
      <w:pPr>
        <w:ind w:firstLine="480" w:firstLineChars="200"/>
        <w:jc w:val="left"/>
        <w:rPr>
          <w:rFonts w:hint="eastAsia" w:ascii="宋体" w:hAnsi="宋体"/>
          <w:lang w:eastAsia="zh-CN"/>
        </w:rPr>
      </w:pPr>
      <w:r>
        <w:rPr>
          <w:rFonts w:hint="eastAsia" w:ascii="宋体" w:hAnsi="宋体"/>
        </w:rPr>
        <w:t>主营产品</w:t>
      </w:r>
      <w:r>
        <w:rPr>
          <w:rFonts w:hint="eastAsia" w:ascii="宋体" w:hAnsi="宋体"/>
          <w:lang w:eastAsia="zh-CN"/>
        </w:rPr>
        <w:t>：</w:t>
      </w:r>
    </w:p>
    <w:p>
      <w:pPr>
        <w:ind w:firstLine="480" w:firstLineChars="200"/>
        <w:jc w:val="left"/>
        <w:rPr>
          <w:rFonts w:hint="eastAsia" w:ascii="宋体" w:hAnsi="宋体"/>
          <w:lang w:eastAsia="zh-CN"/>
        </w:rPr>
      </w:pPr>
      <w:r>
        <w:rPr>
          <w:rFonts w:hint="eastAsia" w:ascii="宋体" w:hAnsi="宋体"/>
          <w:lang w:val="en-US" w:eastAsia="zh-CN"/>
        </w:rPr>
        <w:t>（1）9YF-2200D方草捆打捆机</w:t>
      </w:r>
    </w:p>
    <w:p>
      <w:pPr>
        <w:keepNext w:val="0"/>
        <w:keepLines w:val="0"/>
        <w:widowControl/>
        <w:suppressLineNumbers w:val="0"/>
        <w:jc w:val="center"/>
      </w:pPr>
      <w:r>
        <w:rPr>
          <w:rFonts w:ascii="Helvetica" w:hAnsi="Helvetica" w:eastAsia="Helvetica" w:cs="Helvetica"/>
          <w:i w:val="0"/>
          <w:iCs w:val="0"/>
          <w:caps w:val="0"/>
          <w:color w:val="000000"/>
          <w:spacing w:val="0"/>
          <w:kern w:val="0"/>
          <w:sz w:val="27"/>
          <w:szCs w:val="27"/>
          <w:bdr w:val="single" w:color="F5F5F5" w:sz="6" w:space="0"/>
          <w:shd w:val="clear" w:fill="FFFFFF"/>
          <w:lang w:val="en-US" w:eastAsia="zh-CN" w:bidi="ar"/>
        </w:rPr>
        <w:drawing>
          <wp:inline distT="0" distB="0" distL="114300" distR="114300">
            <wp:extent cx="2454910" cy="1841500"/>
            <wp:effectExtent l="0" t="0" r="2540" b="6350"/>
            <wp:docPr id="9"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IMG_256"/>
                    <pic:cNvPicPr>
                      <a:picLocks noChangeAspect="1"/>
                    </pic:cNvPicPr>
                  </pic:nvPicPr>
                  <pic:blipFill>
                    <a:blip r:embed="rId10"/>
                    <a:stretch>
                      <a:fillRect/>
                    </a:stretch>
                  </pic:blipFill>
                  <pic:spPr>
                    <a:xfrm>
                      <a:off x="0" y="0"/>
                      <a:ext cx="2454910" cy="18415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7"/>
          <w:szCs w:val="27"/>
        </w:rPr>
      </w:pPr>
    </w:p>
    <w:p>
      <w:pPr>
        <w:ind w:firstLine="480" w:firstLineChars="200"/>
        <w:jc w:val="center"/>
        <w:rPr>
          <w:rFonts w:hint="eastAsia" w:ascii="宋体" w:hAnsi="宋体"/>
          <w:lang w:eastAsia="zh-CN"/>
        </w:rPr>
      </w:pPr>
    </w:p>
    <w:p>
      <w:pPr>
        <w:ind w:firstLine="480" w:firstLineChars="200"/>
        <w:jc w:val="left"/>
        <w:rPr>
          <w:rFonts w:hint="eastAsia" w:ascii="宋体" w:hAnsi="宋体"/>
          <w:lang w:eastAsia="zh-CN"/>
        </w:rPr>
      </w:pPr>
      <w:r>
        <w:rPr>
          <w:rFonts w:hint="eastAsia" w:ascii="宋体" w:hAnsi="宋体"/>
          <w:lang w:eastAsia="zh-CN"/>
        </w:rPr>
        <w:t>采用德国进口重型打结器，性能更稳定，可靠性更高；主传动采用双排链轮、双链条传动，针对玉米、棉花等硬作物秸秆作业更可靠、更高效；主要零部件自制，机架采用全序焊接夹具制造，整体焊接结构，强度高，行驶稳定可靠性高。喂入搅龙增加作物防缠绕装置，作业效率提高20%以上。</w:t>
      </w:r>
    </w:p>
    <w:p>
      <w:pPr>
        <w:ind w:firstLine="480" w:firstLineChars="200"/>
        <w:jc w:val="left"/>
        <w:rPr>
          <w:rFonts w:hint="eastAsia" w:ascii="宋体" w:hAnsi="宋体"/>
          <w:lang w:eastAsia="zh-CN"/>
        </w:rPr>
      </w:pPr>
      <w:r>
        <w:rPr>
          <w:rFonts w:hint="eastAsia" w:ascii="宋体" w:hAnsi="宋体"/>
          <w:lang w:eastAsia="zh-CN"/>
        </w:rPr>
        <w:t>（</w:t>
      </w:r>
      <w:r>
        <w:rPr>
          <w:rFonts w:hint="eastAsia" w:ascii="宋体" w:hAnsi="宋体"/>
          <w:lang w:val="en-US" w:eastAsia="zh-CN"/>
        </w:rPr>
        <w:t>2</w:t>
      </w:r>
      <w:r>
        <w:rPr>
          <w:rFonts w:hint="eastAsia" w:ascii="宋体" w:hAnsi="宋体"/>
          <w:lang w:eastAsia="zh-CN"/>
        </w:rPr>
        <w:t>）9YK-520固定式圆草捆打捆机</w:t>
      </w:r>
    </w:p>
    <w:p>
      <w:pPr>
        <w:ind w:firstLine="480" w:firstLineChars="200"/>
        <w:jc w:val="left"/>
        <w:rPr>
          <w:rFonts w:hint="eastAsia" w:ascii="宋体" w:hAnsi="宋体"/>
          <w:lang w:eastAsia="zh-CN"/>
        </w:rPr>
      </w:pPr>
      <w:r>
        <w:rPr>
          <w:rFonts w:hint="eastAsia" w:ascii="宋体" w:hAnsi="宋体"/>
          <w:lang w:val="en-US" w:eastAsia="zh-CN"/>
        </w:rPr>
        <w:t xml:space="preserve">    </w:t>
      </w:r>
      <w:r>
        <w:drawing>
          <wp:inline distT="0" distB="0" distL="114300" distR="114300">
            <wp:extent cx="4319270" cy="2273935"/>
            <wp:effectExtent l="0" t="0" r="5080" b="12065"/>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pic:cNvPicPr>
                  </pic:nvPicPr>
                  <pic:blipFill>
                    <a:blip r:embed="rId11"/>
                    <a:stretch>
                      <a:fillRect/>
                    </a:stretch>
                  </pic:blipFill>
                  <pic:spPr>
                    <a:xfrm>
                      <a:off x="0" y="0"/>
                      <a:ext cx="4319270" cy="2273935"/>
                    </a:xfrm>
                    <a:prstGeom prst="rect">
                      <a:avLst/>
                    </a:prstGeom>
                    <a:noFill/>
                    <a:ln>
                      <a:noFill/>
                    </a:ln>
                  </pic:spPr>
                </pic:pic>
              </a:graphicData>
            </a:graphic>
          </wp:inline>
        </w:drawing>
      </w:r>
    </w:p>
    <w:p>
      <w:pPr>
        <w:ind w:firstLine="480" w:firstLineChars="200"/>
        <w:jc w:val="left"/>
        <w:rPr>
          <w:rFonts w:hint="eastAsia" w:ascii="宋体" w:hAnsi="宋体"/>
          <w:lang w:eastAsia="zh-CN"/>
        </w:rPr>
      </w:pPr>
      <w:r>
        <w:rPr>
          <w:rFonts w:hint="eastAsia" w:ascii="宋体" w:hAnsi="宋体"/>
          <w:lang w:eastAsia="zh-CN"/>
        </w:rPr>
        <w:t>采用德国进口重型打结器，打结器除尘装置，延长打结器使用寿命，提高成捆率，满足复杂工况作业需求；喂入搅龙增加作物防缠绕装置，作业效率显著提升；主要零部件自制，机架采用全序焊接夹具制造，整体焊接结构，强度高，行驶稳定可靠性高。</w:t>
      </w:r>
    </w:p>
    <w:p>
      <w:pPr>
        <w:ind w:left="1200" w:leftChars="200" w:hanging="720" w:hangingChars="300"/>
        <w:jc w:val="left"/>
        <w:rPr>
          <w:rFonts w:hint="eastAsia" w:ascii="宋体" w:hAnsi="宋体"/>
          <w:lang w:eastAsia="zh-CN"/>
        </w:rPr>
      </w:pPr>
    </w:p>
    <w:p>
      <w:pPr>
        <w:ind w:left="1200" w:leftChars="200" w:hanging="720" w:hangingChars="300"/>
        <w:jc w:val="left"/>
      </w:pPr>
      <w:r>
        <w:rPr>
          <w:rFonts w:hint="eastAsia" w:ascii="宋体" w:hAnsi="宋体"/>
          <w:lang w:eastAsia="zh-CN"/>
        </w:rPr>
        <w:t>（</w:t>
      </w:r>
      <w:r>
        <w:rPr>
          <w:rFonts w:hint="eastAsia" w:ascii="宋体" w:hAnsi="宋体"/>
          <w:lang w:val="en-US" w:eastAsia="zh-CN"/>
        </w:rPr>
        <w:t>3</w:t>
      </w:r>
      <w:r>
        <w:rPr>
          <w:rFonts w:hint="eastAsia" w:ascii="宋体" w:hAnsi="宋体"/>
          <w:lang w:eastAsia="zh-CN"/>
        </w:rPr>
        <w:t>）9YQC-2210圆草捆打捆机</w:t>
      </w:r>
      <w:r>
        <w:rPr>
          <w:rFonts w:hint="eastAsia" w:ascii="宋体" w:hAnsi="宋体"/>
          <w:lang w:val="en-US" w:eastAsia="zh-CN"/>
        </w:rPr>
        <w:t xml:space="preserve"> </w:t>
      </w:r>
      <w:r>
        <w:drawing>
          <wp:inline distT="0" distB="0" distL="114300" distR="114300">
            <wp:extent cx="3431540" cy="2802255"/>
            <wp:effectExtent l="0" t="0" r="16510" b="17145"/>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pic:cNvPicPr>
                      <a:picLocks noChangeAspect="1"/>
                    </pic:cNvPicPr>
                  </pic:nvPicPr>
                  <pic:blipFill>
                    <a:blip r:embed="rId12"/>
                    <a:stretch>
                      <a:fillRect/>
                    </a:stretch>
                  </pic:blipFill>
                  <pic:spPr>
                    <a:xfrm>
                      <a:off x="0" y="0"/>
                      <a:ext cx="3431540" cy="2802255"/>
                    </a:xfrm>
                    <a:prstGeom prst="rect">
                      <a:avLst/>
                    </a:prstGeom>
                    <a:noFill/>
                    <a:ln>
                      <a:noFill/>
                    </a:ln>
                  </pic:spPr>
                </pic:pic>
              </a:graphicData>
            </a:graphic>
          </wp:inline>
        </w:drawing>
      </w:r>
    </w:p>
    <w:p>
      <w:pPr>
        <w:ind w:firstLine="480" w:firstLineChars="200"/>
        <w:jc w:val="left"/>
        <w:rPr>
          <w:rFonts w:hint="eastAsia" w:ascii="宋体" w:hAnsi="宋体"/>
          <w:lang w:eastAsia="zh-CN"/>
        </w:rPr>
      </w:pPr>
      <w:r>
        <w:rPr>
          <w:rFonts w:hint="eastAsia" w:ascii="宋体" w:hAnsi="宋体"/>
          <w:lang w:eastAsia="zh-CN"/>
        </w:rPr>
        <w:t>采用德国进口重型打结器，性能更稳定，可靠性更高；主要零部件自制，机架采用全序焊接夹具制造，整体焊接结构，强度高，行驶稳定可靠性高。并且增加了防传缠绕卡死等安全装置，提高产品效率及安全性。</w:t>
      </w:r>
    </w:p>
    <w:p>
      <w:pPr>
        <w:ind w:firstLine="480" w:firstLineChars="200"/>
        <w:jc w:val="left"/>
        <w:rPr>
          <w:rFonts w:hint="eastAsia" w:ascii="宋体" w:hAnsi="宋体"/>
          <w:lang w:eastAsia="zh-CN"/>
        </w:rPr>
      </w:pPr>
      <w:r>
        <w:rPr>
          <w:rFonts w:hint="eastAsia" w:ascii="宋体" w:hAnsi="宋体"/>
          <w:lang w:eastAsia="zh-CN"/>
        </w:rPr>
        <w:t>（</w:t>
      </w:r>
      <w:r>
        <w:rPr>
          <w:rFonts w:hint="eastAsia" w:ascii="宋体" w:hAnsi="宋体"/>
          <w:lang w:val="en-US" w:eastAsia="zh-CN"/>
        </w:rPr>
        <w:t>4</w:t>
      </w:r>
      <w:r>
        <w:rPr>
          <w:rFonts w:hint="eastAsia" w:ascii="宋体" w:hAnsi="宋体"/>
          <w:lang w:eastAsia="zh-CN"/>
        </w:rPr>
        <w:t>）HTS2204轮式拖拉机</w:t>
      </w:r>
    </w:p>
    <w:p>
      <w:pPr>
        <w:ind w:firstLine="480" w:firstLineChars="200"/>
        <w:jc w:val="left"/>
      </w:pPr>
      <w:r>
        <w:drawing>
          <wp:inline distT="0" distB="0" distL="114300" distR="114300">
            <wp:extent cx="3486150" cy="2838450"/>
            <wp:effectExtent l="0" t="0" r="0" b="0"/>
            <wp:docPr id="1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pic:cNvPicPr>
                      <a:picLocks noChangeAspect="1"/>
                    </pic:cNvPicPr>
                  </pic:nvPicPr>
                  <pic:blipFill>
                    <a:blip r:embed="rId13"/>
                    <a:stretch>
                      <a:fillRect/>
                    </a:stretch>
                  </pic:blipFill>
                  <pic:spPr>
                    <a:xfrm>
                      <a:off x="0" y="0"/>
                      <a:ext cx="3486150" cy="2838450"/>
                    </a:xfrm>
                    <a:prstGeom prst="rect">
                      <a:avLst/>
                    </a:prstGeom>
                    <a:noFill/>
                    <a:ln>
                      <a:noFill/>
                    </a:ln>
                  </pic:spPr>
                </pic:pic>
              </a:graphicData>
            </a:graphic>
          </wp:inline>
        </w:drawing>
      </w:r>
    </w:p>
    <w:p>
      <w:pPr>
        <w:ind w:firstLine="480" w:firstLineChars="200"/>
        <w:jc w:val="left"/>
        <w:rPr>
          <w:rFonts w:hint="eastAsia"/>
          <w:lang w:eastAsia="zh-CN"/>
        </w:rPr>
      </w:pPr>
      <w:r>
        <w:rPr>
          <w:rFonts w:hint="eastAsia"/>
          <w:lang w:eastAsia="zh-CN"/>
        </w:rPr>
        <w:t>动力强劲，可靠性高。名优高压共轨、增压发动机，动力强劲，燃油经济性好，可靠性高。独立操纵14寸重型双作用离合器，进口摩擦材质，扭矩储备大，可靠性高。强制冷却润滑有效解决传动系高温问题确保齿轮、轴承等关键零件的正常润滑，保障密封件、润滑油的使用寿命，使传动系工作可靠性得到大幅提升。机械自增力制动器，磨损自动补偿，制动可靠，液压操纵装置，安全轻便。性能卓越，作业效率高。</w:t>
      </w:r>
    </w:p>
    <w:p>
      <w:pPr>
        <w:ind w:firstLine="480" w:firstLineChars="200"/>
        <w:jc w:val="left"/>
        <w:rPr>
          <w:rFonts w:hint="eastAsia" w:ascii="宋体" w:hAnsi="宋体"/>
          <w:lang w:eastAsia="zh-CN"/>
        </w:rPr>
      </w:pPr>
      <w:r>
        <w:rPr>
          <w:rFonts w:hint="eastAsia" w:ascii="宋体" w:hAnsi="宋体"/>
          <w:lang w:eastAsia="zh-CN"/>
        </w:rPr>
        <w:t>（</w:t>
      </w:r>
      <w:r>
        <w:rPr>
          <w:rFonts w:hint="eastAsia" w:ascii="宋体" w:hAnsi="宋体"/>
          <w:lang w:val="en-US" w:eastAsia="zh-CN"/>
        </w:rPr>
        <w:t>5</w:t>
      </w:r>
      <w:r>
        <w:rPr>
          <w:rFonts w:hint="eastAsia" w:ascii="宋体" w:hAnsi="宋体"/>
          <w:lang w:eastAsia="zh-CN"/>
        </w:rPr>
        <w:t>）HT2104轮式拖拉机</w:t>
      </w:r>
    </w:p>
    <w:p>
      <w:pPr>
        <w:ind w:firstLine="480" w:firstLineChars="200"/>
        <w:jc w:val="center"/>
      </w:pPr>
      <w:r>
        <w:drawing>
          <wp:inline distT="0" distB="0" distL="114300" distR="114300">
            <wp:extent cx="2878455" cy="2318385"/>
            <wp:effectExtent l="0" t="0" r="17145" b="5715"/>
            <wp:docPr id="1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pic:cNvPicPr>
                      <a:picLocks noChangeAspect="1"/>
                    </pic:cNvPicPr>
                  </pic:nvPicPr>
                  <pic:blipFill>
                    <a:blip r:embed="rId14"/>
                    <a:stretch>
                      <a:fillRect/>
                    </a:stretch>
                  </pic:blipFill>
                  <pic:spPr>
                    <a:xfrm>
                      <a:off x="0" y="0"/>
                      <a:ext cx="2878455" cy="2318385"/>
                    </a:xfrm>
                    <a:prstGeom prst="rect">
                      <a:avLst/>
                    </a:prstGeom>
                    <a:noFill/>
                    <a:ln>
                      <a:noFill/>
                    </a:ln>
                  </pic:spPr>
                </pic:pic>
              </a:graphicData>
            </a:graphic>
          </wp:inline>
        </w:drawing>
      </w:r>
    </w:p>
    <w:p>
      <w:pPr>
        <w:ind w:firstLine="480" w:firstLineChars="200"/>
        <w:jc w:val="left"/>
        <w:rPr>
          <w:rFonts w:hint="eastAsia"/>
          <w:lang w:eastAsia="zh-CN"/>
        </w:rPr>
      </w:pPr>
      <w:r>
        <w:rPr>
          <w:rFonts w:hint="eastAsia"/>
          <w:lang w:eastAsia="zh-CN"/>
        </w:rPr>
        <w:t>机械自增力制动器，磨损自动补偿，制动可靠，液压操纵装置，安全轻便。性能卓越、作业效率高变速箱16F+8R档位，拥有各种作业的理想工作速度，作业效率高。双油缸强压提升器，Ⅱ类快速挂接悬挂，能满足多种复合机具匹配需求，快速挂接，更快捷、更方便。三组液压输出，满足折叠粑、翻转犁等各种机具作业需求，适应性更广。后轮轮距无级可调，满足各种农艺要求。驾乘舒适、操控方便。</w:t>
      </w:r>
    </w:p>
    <w:p>
      <w:pPr>
        <w:ind w:firstLine="480" w:firstLineChars="200"/>
        <w:jc w:val="left"/>
        <w:rPr>
          <w:rFonts w:hint="eastAsia" w:ascii="宋体" w:hAnsi="宋体"/>
          <w:lang w:eastAsia="zh-CN"/>
        </w:rPr>
      </w:pPr>
      <w:r>
        <w:rPr>
          <w:rFonts w:hint="eastAsia" w:ascii="宋体" w:hAnsi="宋体"/>
          <w:lang w:eastAsia="zh-CN"/>
        </w:rPr>
        <w:t>（</w:t>
      </w:r>
      <w:r>
        <w:rPr>
          <w:rFonts w:hint="eastAsia" w:ascii="宋体" w:hAnsi="宋体"/>
          <w:lang w:val="en-US" w:eastAsia="zh-CN"/>
        </w:rPr>
        <w:t>6</w:t>
      </w:r>
      <w:r>
        <w:rPr>
          <w:rFonts w:hint="eastAsia" w:ascii="宋体" w:hAnsi="宋体"/>
          <w:lang w:eastAsia="zh-CN"/>
        </w:rPr>
        <w:t>）HT804轮式拖拉机</w:t>
      </w:r>
    </w:p>
    <w:p>
      <w:pPr>
        <w:ind w:firstLine="480" w:firstLineChars="200"/>
        <w:jc w:val="center"/>
      </w:pPr>
      <w:r>
        <w:drawing>
          <wp:inline distT="0" distB="0" distL="114300" distR="114300">
            <wp:extent cx="3324225" cy="2895600"/>
            <wp:effectExtent l="0" t="0" r="9525" b="0"/>
            <wp:docPr id="1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1"/>
                    <pic:cNvPicPr>
                      <a:picLocks noChangeAspect="1"/>
                    </pic:cNvPicPr>
                  </pic:nvPicPr>
                  <pic:blipFill>
                    <a:blip r:embed="rId15"/>
                    <a:stretch>
                      <a:fillRect/>
                    </a:stretch>
                  </pic:blipFill>
                  <pic:spPr>
                    <a:xfrm>
                      <a:off x="0" y="0"/>
                      <a:ext cx="3324225" cy="2895600"/>
                    </a:xfrm>
                    <a:prstGeom prst="rect">
                      <a:avLst/>
                    </a:prstGeom>
                    <a:noFill/>
                    <a:ln>
                      <a:noFill/>
                    </a:ln>
                  </pic:spPr>
                </pic:pic>
              </a:graphicData>
            </a:graphic>
          </wp:inline>
        </w:drawing>
      </w:r>
    </w:p>
    <w:p>
      <w:pPr>
        <w:ind w:firstLine="480" w:firstLineChars="200"/>
        <w:jc w:val="left"/>
        <w:rPr>
          <w:rFonts w:hint="eastAsia" w:ascii="宋体" w:hAnsi="宋体" w:eastAsia="宋体" w:cs="宋体"/>
          <w:lang w:val="en-US" w:eastAsia="zh-CN"/>
        </w:rPr>
      </w:pPr>
      <w:r>
        <w:rPr>
          <w:rFonts w:hint="eastAsia" w:ascii="宋体" w:hAnsi="宋体" w:eastAsia="宋体" w:cs="宋体"/>
          <w:lang w:val="en-US" w:eastAsia="zh-CN"/>
        </w:rPr>
        <w:t>动力更强劲，匹配国产名优四缸发动机,配套动力强、可靠性高; 排放标准为国内要求国亚标准。技术更先进采用加强型驱动轴,作业稳定性更高; 双油缸强压提升器,带高度限位,提升力大,维修方便。驾驶更舒适全封闭密封驾驶室,可选装暖风、空调、风扇系统,豪华舒适采用侧置操纵、啮合套换挡,操作灵活、方便；全新流线型车身设计,外形美观大气。</w:t>
      </w:r>
    </w:p>
    <w:p>
      <w:pPr>
        <w:pStyle w:val="3"/>
        <w:ind w:left="480"/>
        <w:rPr>
          <w:rFonts w:hint="eastAsia"/>
        </w:rPr>
      </w:pPr>
      <w:bookmarkStart w:id="57" w:name="_Toc27548"/>
      <w:r>
        <w:rPr>
          <w:rFonts w:hint="eastAsia"/>
          <w:lang w:val="en-US" w:eastAsia="zh-CN"/>
        </w:rPr>
        <w:t>五</w:t>
      </w:r>
      <w:r>
        <w:rPr>
          <w:rFonts w:hint="eastAsia"/>
        </w:rPr>
        <w:t>、公司财务报表简表</w:t>
      </w:r>
      <w:bookmarkEnd w:id="57"/>
    </w:p>
    <w:p>
      <w:pPr>
        <w:numPr>
          <w:ilvl w:val="0"/>
          <w:numId w:val="0"/>
        </w:numPr>
        <w:ind w:firstLine="480" w:firstLineChars="200"/>
        <w:outlineLvl w:val="2"/>
        <w:rPr>
          <w:rFonts w:hint="eastAsia" w:ascii="宋体" w:hAnsi="宋体" w:eastAsia="宋体"/>
          <w:lang w:val="en-US" w:eastAsia="zh-CN"/>
        </w:rPr>
      </w:pPr>
      <w:r>
        <w:rPr>
          <w:rFonts w:hint="eastAsia" w:ascii="宋体" w:hAnsi="宋体"/>
          <w:lang w:val="en-US" w:eastAsia="zh-CN"/>
        </w:rPr>
        <w:t>1、资产负债表</w:t>
      </w:r>
    </w:p>
    <w:tbl>
      <w:tblPr>
        <w:tblStyle w:val="13"/>
        <w:tblpPr w:leftFromText="180" w:rightFromText="180" w:vertAnchor="text" w:horzAnchor="page" w:tblpX="1822" w:tblpY="1032"/>
        <w:tblOverlap w:val="never"/>
        <w:tblW w:w="8260" w:type="dxa"/>
        <w:tblInd w:w="0" w:type="dxa"/>
        <w:shd w:val="clear" w:color="auto" w:fill="auto"/>
        <w:tblLayout w:type="autofit"/>
        <w:tblCellMar>
          <w:top w:w="0" w:type="dxa"/>
          <w:left w:w="108" w:type="dxa"/>
          <w:bottom w:w="0" w:type="dxa"/>
          <w:right w:w="108" w:type="dxa"/>
        </w:tblCellMar>
      </w:tblPr>
      <w:tblGrid>
        <w:gridCol w:w="2784"/>
        <w:gridCol w:w="1861"/>
        <w:gridCol w:w="1856"/>
        <w:gridCol w:w="1759"/>
      </w:tblGrid>
      <w:tr>
        <w:tblPrEx>
          <w:shd w:val="clear" w:color="auto" w:fill="auto"/>
          <w:tblCellMar>
            <w:top w:w="0" w:type="dxa"/>
            <w:left w:w="108" w:type="dxa"/>
            <w:bottom w:w="0" w:type="dxa"/>
            <w:right w:w="108" w:type="dxa"/>
          </w:tblCellMar>
        </w:tblPrEx>
        <w:trPr>
          <w:trHeight w:val="405" w:hRule="atLeast"/>
        </w:trPr>
        <w:tc>
          <w:tcPr>
            <w:tcW w:w="8260" w:type="dxa"/>
            <w:gridSpan w:val="4"/>
            <w:tcBorders>
              <w:top w:val="nil"/>
              <w:left w:val="nil"/>
              <w:bottom w:val="nil"/>
              <w:right w:val="nil"/>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32"/>
                <w:szCs w:val="32"/>
                <w:u w:val="none"/>
              </w:rPr>
            </w:pPr>
            <w:bookmarkStart w:id="58" w:name="_Toc248204895"/>
            <w:r>
              <w:rPr>
                <w:rFonts w:hint="eastAsia" w:ascii="宋体" w:hAnsi="宋体" w:eastAsia="宋体" w:cs="宋体"/>
                <w:b/>
                <w:bCs/>
                <w:i w:val="0"/>
                <w:iCs w:val="0"/>
                <w:color w:val="000000"/>
                <w:kern w:val="0"/>
                <w:sz w:val="32"/>
                <w:szCs w:val="32"/>
                <w:u w:val="none"/>
                <w:lang w:val="en-US" w:eastAsia="zh-CN" w:bidi="ar"/>
              </w:rPr>
              <w:t>资产负债表</w:t>
            </w:r>
          </w:p>
        </w:tc>
      </w:tr>
      <w:tr>
        <w:tblPrEx>
          <w:tblCellMar>
            <w:top w:w="0" w:type="dxa"/>
            <w:left w:w="108" w:type="dxa"/>
            <w:bottom w:w="0" w:type="dxa"/>
            <w:right w:w="108" w:type="dxa"/>
          </w:tblCellMar>
        </w:tblPrEx>
        <w:trPr>
          <w:trHeight w:val="240" w:hRule="atLeast"/>
        </w:trPr>
        <w:tc>
          <w:tcPr>
            <w:tcW w:w="6501" w:type="dxa"/>
            <w:gridSpan w:val="3"/>
            <w:tcBorders>
              <w:top w:val="nil"/>
              <w:left w:val="nil"/>
              <w:bottom w:val="single" w:color="000000" w:sz="4" w:space="0"/>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编制单位:山东华拖农业装备有限公司</w:t>
            </w:r>
          </w:p>
        </w:tc>
        <w:tc>
          <w:tcPr>
            <w:tcW w:w="1759" w:type="dxa"/>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单位：元</w:t>
            </w:r>
          </w:p>
        </w:tc>
      </w:tr>
      <w:tr>
        <w:tblPrEx>
          <w:tblCellMar>
            <w:top w:w="0" w:type="dxa"/>
            <w:left w:w="108" w:type="dxa"/>
            <w:bottom w:w="0" w:type="dxa"/>
            <w:right w:w="108" w:type="dxa"/>
          </w:tblCellMar>
        </w:tblPrEx>
        <w:trPr>
          <w:trHeight w:val="260" w:hRule="atLeast"/>
        </w:trPr>
        <w:tc>
          <w:tcPr>
            <w:tcW w:w="27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资产</w:t>
            </w:r>
          </w:p>
        </w:tc>
        <w:tc>
          <w:tcPr>
            <w:tcW w:w="18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r>
              <w:rPr>
                <w:rFonts w:hint="eastAsia" w:ascii="宋体" w:hAnsi="宋体" w:cs="宋体"/>
                <w:i w:val="0"/>
                <w:iCs w:val="0"/>
                <w:color w:val="000000"/>
                <w:kern w:val="0"/>
                <w:sz w:val="20"/>
                <w:szCs w:val="20"/>
                <w:u w:val="none"/>
                <w:lang w:val="en-US" w:eastAsia="zh-CN" w:bidi="ar"/>
              </w:rPr>
              <w:t>19</w:t>
            </w:r>
            <w:r>
              <w:rPr>
                <w:rFonts w:hint="eastAsia" w:ascii="宋体" w:hAnsi="宋体" w:eastAsia="宋体" w:cs="宋体"/>
                <w:i w:val="0"/>
                <w:iCs w:val="0"/>
                <w:color w:val="000000"/>
                <w:kern w:val="0"/>
                <w:sz w:val="20"/>
                <w:szCs w:val="20"/>
                <w:u w:val="none"/>
                <w:lang w:val="en-US" w:eastAsia="zh-CN" w:bidi="ar"/>
              </w:rPr>
              <w:t>年</w:t>
            </w:r>
            <w:r>
              <w:rPr>
                <w:rFonts w:hint="eastAsia" w:ascii="宋体" w:hAnsi="宋体" w:cs="宋体"/>
                <w:i w:val="0"/>
                <w:iCs w:val="0"/>
                <w:color w:val="000000"/>
                <w:kern w:val="0"/>
                <w:sz w:val="20"/>
                <w:szCs w:val="20"/>
                <w:u w:val="none"/>
                <w:lang w:val="en-US" w:eastAsia="zh-CN" w:bidi="ar"/>
              </w:rPr>
              <w:t>12</w:t>
            </w:r>
            <w:r>
              <w:rPr>
                <w:rFonts w:hint="eastAsia" w:ascii="宋体" w:hAnsi="宋体" w:eastAsia="宋体" w:cs="宋体"/>
                <w:i w:val="0"/>
                <w:iCs w:val="0"/>
                <w:color w:val="000000"/>
                <w:kern w:val="0"/>
                <w:sz w:val="20"/>
                <w:szCs w:val="20"/>
                <w:u w:val="none"/>
                <w:lang w:val="en-US" w:eastAsia="zh-CN" w:bidi="ar"/>
              </w:rPr>
              <w:t>月</w:t>
            </w:r>
            <w:r>
              <w:rPr>
                <w:rFonts w:hint="eastAsia" w:ascii="宋体" w:hAnsi="宋体" w:cs="宋体"/>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1日</w:t>
            </w:r>
          </w:p>
        </w:tc>
        <w:tc>
          <w:tcPr>
            <w:tcW w:w="18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2020年12月31日</w:t>
            </w: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2021年5月31日</w:t>
            </w:r>
          </w:p>
        </w:tc>
      </w:tr>
      <w:tr>
        <w:tblPrEx>
          <w:tblCellMar>
            <w:top w:w="0" w:type="dxa"/>
            <w:left w:w="108" w:type="dxa"/>
            <w:bottom w:w="0" w:type="dxa"/>
            <w:right w:w="108" w:type="dxa"/>
          </w:tblCellMar>
        </w:tblPrEx>
        <w:trPr>
          <w:trHeight w:val="260" w:hRule="atLeast"/>
        </w:trPr>
        <w:tc>
          <w:tcPr>
            <w:tcW w:w="27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流动资产：</w:t>
            </w:r>
          </w:p>
        </w:tc>
        <w:tc>
          <w:tcPr>
            <w:tcW w:w="186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60" w:hRule="atLeast"/>
        </w:trPr>
        <w:tc>
          <w:tcPr>
            <w:tcW w:w="27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货币资金 </w:t>
            </w:r>
          </w:p>
        </w:tc>
        <w:tc>
          <w:tcPr>
            <w:tcW w:w="18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29,425.38 </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579,761.85 </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636,311.29 </w:t>
            </w:r>
          </w:p>
        </w:tc>
      </w:tr>
      <w:tr>
        <w:tblPrEx>
          <w:tblCellMar>
            <w:top w:w="0" w:type="dxa"/>
            <w:left w:w="108" w:type="dxa"/>
            <w:bottom w:w="0" w:type="dxa"/>
            <w:right w:w="108" w:type="dxa"/>
          </w:tblCellMar>
        </w:tblPrEx>
        <w:trPr>
          <w:trHeight w:val="260" w:hRule="atLeast"/>
        </w:trPr>
        <w:tc>
          <w:tcPr>
            <w:tcW w:w="27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交易性金融资产 </w:t>
            </w:r>
          </w:p>
        </w:tc>
        <w:tc>
          <w:tcPr>
            <w:tcW w:w="186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60" w:hRule="atLeast"/>
        </w:trPr>
        <w:tc>
          <w:tcPr>
            <w:tcW w:w="27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应收票据 </w:t>
            </w:r>
          </w:p>
        </w:tc>
        <w:tc>
          <w:tcPr>
            <w:tcW w:w="18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60" w:hRule="atLeast"/>
        </w:trPr>
        <w:tc>
          <w:tcPr>
            <w:tcW w:w="27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应收账款 </w:t>
            </w:r>
          </w:p>
        </w:tc>
        <w:tc>
          <w:tcPr>
            <w:tcW w:w="18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645,000.00 </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3,101,258.53 </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2,578,506.88 </w:t>
            </w:r>
          </w:p>
        </w:tc>
      </w:tr>
      <w:tr>
        <w:tblPrEx>
          <w:tblCellMar>
            <w:top w:w="0" w:type="dxa"/>
            <w:left w:w="108" w:type="dxa"/>
            <w:bottom w:w="0" w:type="dxa"/>
            <w:right w:w="108" w:type="dxa"/>
          </w:tblCellMar>
        </w:tblPrEx>
        <w:trPr>
          <w:trHeight w:val="260" w:hRule="atLeast"/>
        </w:trPr>
        <w:tc>
          <w:tcPr>
            <w:tcW w:w="27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预付账款 </w:t>
            </w:r>
          </w:p>
        </w:tc>
        <w:tc>
          <w:tcPr>
            <w:tcW w:w="186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60" w:hRule="atLeast"/>
        </w:trPr>
        <w:tc>
          <w:tcPr>
            <w:tcW w:w="27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应收股利 </w:t>
            </w:r>
          </w:p>
        </w:tc>
        <w:tc>
          <w:tcPr>
            <w:tcW w:w="186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60" w:hRule="atLeast"/>
        </w:trPr>
        <w:tc>
          <w:tcPr>
            <w:tcW w:w="27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应收利息 </w:t>
            </w:r>
          </w:p>
        </w:tc>
        <w:tc>
          <w:tcPr>
            <w:tcW w:w="186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60" w:hRule="atLeast"/>
        </w:trPr>
        <w:tc>
          <w:tcPr>
            <w:tcW w:w="27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其他应收款 </w:t>
            </w:r>
          </w:p>
        </w:tc>
        <w:tc>
          <w:tcPr>
            <w:tcW w:w="186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60" w:hRule="atLeast"/>
        </w:trPr>
        <w:tc>
          <w:tcPr>
            <w:tcW w:w="27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存货 </w:t>
            </w:r>
          </w:p>
        </w:tc>
        <w:tc>
          <w:tcPr>
            <w:tcW w:w="18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540,862.21 </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3,851,259.89 </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4,592,696.17 </w:t>
            </w:r>
          </w:p>
        </w:tc>
      </w:tr>
      <w:tr>
        <w:tblPrEx>
          <w:tblCellMar>
            <w:top w:w="0" w:type="dxa"/>
            <w:left w:w="108" w:type="dxa"/>
            <w:bottom w:w="0" w:type="dxa"/>
            <w:right w:w="108" w:type="dxa"/>
          </w:tblCellMar>
        </w:tblPrEx>
        <w:trPr>
          <w:trHeight w:val="280" w:hRule="atLeast"/>
        </w:trPr>
        <w:tc>
          <w:tcPr>
            <w:tcW w:w="27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一年内到期的非流动资产 </w:t>
            </w:r>
          </w:p>
        </w:tc>
        <w:tc>
          <w:tcPr>
            <w:tcW w:w="18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20" w:hRule="atLeast"/>
        </w:trPr>
        <w:tc>
          <w:tcPr>
            <w:tcW w:w="27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其他流动资产 </w:t>
            </w:r>
          </w:p>
        </w:tc>
        <w:tc>
          <w:tcPr>
            <w:tcW w:w="18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60" w:hRule="atLeast"/>
        </w:trPr>
        <w:tc>
          <w:tcPr>
            <w:tcW w:w="27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流动资产合计 </w:t>
            </w:r>
          </w:p>
        </w:tc>
        <w:tc>
          <w:tcPr>
            <w:tcW w:w="186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1,215,287.59 </w:t>
            </w:r>
          </w:p>
        </w:tc>
        <w:tc>
          <w:tcPr>
            <w:tcW w:w="185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7,532,280.27 </w:t>
            </w: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7,807,514.34 </w:t>
            </w:r>
          </w:p>
        </w:tc>
      </w:tr>
      <w:tr>
        <w:tblPrEx>
          <w:tblCellMar>
            <w:top w:w="0" w:type="dxa"/>
            <w:left w:w="108" w:type="dxa"/>
            <w:bottom w:w="0" w:type="dxa"/>
            <w:right w:w="108" w:type="dxa"/>
          </w:tblCellMar>
        </w:tblPrEx>
        <w:trPr>
          <w:trHeight w:val="260" w:hRule="atLeast"/>
        </w:trPr>
        <w:tc>
          <w:tcPr>
            <w:tcW w:w="27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非流动资产： </w:t>
            </w:r>
          </w:p>
        </w:tc>
        <w:tc>
          <w:tcPr>
            <w:tcW w:w="186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60" w:hRule="atLeast"/>
        </w:trPr>
        <w:tc>
          <w:tcPr>
            <w:tcW w:w="27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可供出售金融资产 </w:t>
            </w:r>
          </w:p>
        </w:tc>
        <w:tc>
          <w:tcPr>
            <w:tcW w:w="186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60" w:hRule="atLeast"/>
        </w:trPr>
        <w:tc>
          <w:tcPr>
            <w:tcW w:w="27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持有至到期投资 </w:t>
            </w:r>
          </w:p>
        </w:tc>
        <w:tc>
          <w:tcPr>
            <w:tcW w:w="186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60" w:hRule="atLeast"/>
        </w:trPr>
        <w:tc>
          <w:tcPr>
            <w:tcW w:w="27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长期应收款 </w:t>
            </w:r>
          </w:p>
        </w:tc>
        <w:tc>
          <w:tcPr>
            <w:tcW w:w="186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60" w:hRule="atLeast"/>
        </w:trPr>
        <w:tc>
          <w:tcPr>
            <w:tcW w:w="27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长期股权投资 </w:t>
            </w:r>
          </w:p>
        </w:tc>
        <w:tc>
          <w:tcPr>
            <w:tcW w:w="186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60" w:hRule="atLeast"/>
        </w:trPr>
        <w:tc>
          <w:tcPr>
            <w:tcW w:w="27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投资性房地产 </w:t>
            </w:r>
          </w:p>
        </w:tc>
        <w:tc>
          <w:tcPr>
            <w:tcW w:w="186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60" w:hRule="atLeast"/>
        </w:trPr>
        <w:tc>
          <w:tcPr>
            <w:tcW w:w="27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固定资产原价 </w:t>
            </w:r>
          </w:p>
        </w:tc>
        <w:tc>
          <w:tcPr>
            <w:tcW w:w="18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867,132.50 </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867,132.50 </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867,132.50 </w:t>
            </w:r>
          </w:p>
        </w:tc>
      </w:tr>
      <w:tr>
        <w:tblPrEx>
          <w:tblCellMar>
            <w:top w:w="0" w:type="dxa"/>
            <w:left w:w="108" w:type="dxa"/>
            <w:bottom w:w="0" w:type="dxa"/>
            <w:right w:w="108" w:type="dxa"/>
          </w:tblCellMar>
        </w:tblPrEx>
        <w:trPr>
          <w:trHeight w:val="260" w:hRule="atLeast"/>
        </w:trPr>
        <w:tc>
          <w:tcPr>
            <w:tcW w:w="27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减：累计折旧 </w:t>
            </w:r>
          </w:p>
        </w:tc>
        <w:tc>
          <w:tcPr>
            <w:tcW w:w="18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89,976.18 </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188,829.28 </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230,018.07 </w:t>
            </w:r>
          </w:p>
        </w:tc>
      </w:tr>
      <w:tr>
        <w:tblPrEx>
          <w:tblCellMar>
            <w:top w:w="0" w:type="dxa"/>
            <w:left w:w="108" w:type="dxa"/>
            <w:bottom w:w="0" w:type="dxa"/>
            <w:right w:w="108" w:type="dxa"/>
          </w:tblCellMar>
        </w:tblPrEx>
        <w:trPr>
          <w:trHeight w:val="260" w:hRule="atLeast"/>
        </w:trPr>
        <w:tc>
          <w:tcPr>
            <w:tcW w:w="27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固定资产账面价值 </w:t>
            </w:r>
          </w:p>
        </w:tc>
        <w:tc>
          <w:tcPr>
            <w:tcW w:w="186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777,156.32 </w:t>
            </w:r>
          </w:p>
        </w:tc>
        <w:tc>
          <w:tcPr>
            <w:tcW w:w="185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678,303.22 </w:t>
            </w: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637,114.43 </w:t>
            </w:r>
          </w:p>
        </w:tc>
      </w:tr>
      <w:tr>
        <w:tblPrEx>
          <w:tblCellMar>
            <w:top w:w="0" w:type="dxa"/>
            <w:left w:w="108" w:type="dxa"/>
            <w:bottom w:w="0" w:type="dxa"/>
            <w:right w:w="108" w:type="dxa"/>
          </w:tblCellMar>
        </w:tblPrEx>
        <w:trPr>
          <w:trHeight w:val="260" w:hRule="atLeast"/>
        </w:trPr>
        <w:tc>
          <w:tcPr>
            <w:tcW w:w="27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在建工程 </w:t>
            </w:r>
          </w:p>
        </w:tc>
        <w:tc>
          <w:tcPr>
            <w:tcW w:w="186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60" w:hRule="atLeast"/>
        </w:trPr>
        <w:tc>
          <w:tcPr>
            <w:tcW w:w="27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工程物资 </w:t>
            </w:r>
          </w:p>
        </w:tc>
        <w:tc>
          <w:tcPr>
            <w:tcW w:w="186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60" w:hRule="atLeast"/>
        </w:trPr>
        <w:tc>
          <w:tcPr>
            <w:tcW w:w="27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固定资产清理 </w:t>
            </w:r>
          </w:p>
        </w:tc>
        <w:tc>
          <w:tcPr>
            <w:tcW w:w="186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60" w:hRule="atLeast"/>
        </w:trPr>
        <w:tc>
          <w:tcPr>
            <w:tcW w:w="27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生产性生物资产 </w:t>
            </w:r>
          </w:p>
        </w:tc>
        <w:tc>
          <w:tcPr>
            <w:tcW w:w="186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27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无形资产 </w:t>
            </w:r>
          </w:p>
        </w:tc>
        <w:tc>
          <w:tcPr>
            <w:tcW w:w="18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60" w:hRule="atLeast"/>
        </w:trPr>
        <w:tc>
          <w:tcPr>
            <w:tcW w:w="27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开发支出 </w:t>
            </w:r>
          </w:p>
        </w:tc>
        <w:tc>
          <w:tcPr>
            <w:tcW w:w="186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60" w:hRule="atLeast"/>
        </w:trPr>
        <w:tc>
          <w:tcPr>
            <w:tcW w:w="27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长期待摊费用 </w:t>
            </w:r>
          </w:p>
        </w:tc>
        <w:tc>
          <w:tcPr>
            <w:tcW w:w="186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60" w:hRule="atLeast"/>
        </w:trPr>
        <w:tc>
          <w:tcPr>
            <w:tcW w:w="27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递延所得税资产 </w:t>
            </w:r>
          </w:p>
        </w:tc>
        <w:tc>
          <w:tcPr>
            <w:tcW w:w="186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60" w:hRule="atLeast"/>
        </w:trPr>
        <w:tc>
          <w:tcPr>
            <w:tcW w:w="27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其他非流动资产 </w:t>
            </w:r>
          </w:p>
        </w:tc>
        <w:tc>
          <w:tcPr>
            <w:tcW w:w="186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20" w:hRule="atLeast"/>
        </w:trPr>
        <w:tc>
          <w:tcPr>
            <w:tcW w:w="27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非流动资产合计 </w:t>
            </w:r>
          </w:p>
        </w:tc>
        <w:tc>
          <w:tcPr>
            <w:tcW w:w="186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777,156.32 </w:t>
            </w:r>
          </w:p>
        </w:tc>
        <w:tc>
          <w:tcPr>
            <w:tcW w:w="185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678,303.22 </w:t>
            </w: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637,114.43 </w:t>
            </w:r>
          </w:p>
        </w:tc>
      </w:tr>
      <w:tr>
        <w:tblPrEx>
          <w:tblCellMar>
            <w:top w:w="0" w:type="dxa"/>
            <w:left w:w="108" w:type="dxa"/>
            <w:bottom w:w="0" w:type="dxa"/>
            <w:right w:w="108" w:type="dxa"/>
          </w:tblCellMar>
        </w:tblPrEx>
        <w:trPr>
          <w:trHeight w:val="600" w:hRule="atLeast"/>
        </w:trPr>
        <w:tc>
          <w:tcPr>
            <w:tcW w:w="278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资产总计 </w:t>
            </w:r>
          </w:p>
        </w:tc>
        <w:tc>
          <w:tcPr>
            <w:tcW w:w="186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1,992,443.91 </w:t>
            </w:r>
          </w:p>
        </w:tc>
        <w:tc>
          <w:tcPr>
            <w:tcW w:w="185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8,210,583.49 </w:t>
            </w: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8,444,628.77 </w:t>
            </w:r>
          </w:p>
        </w:tc>
      </w:tr>
      <w:bookmarkEnd w:id="58"/>
    </w:tbl>
    <w:tbl>
      <w:tblPr>
        <w:tblStyle w:val="13"/>
        <w:tblpPr w:leftFromText="180" w:rightFromText="180" w:vertAnchor="text" w:horzAnchor="page" w:tblpX="1722" w:tblpY="352"/>
        <w:tblOverlap w:val="never"/>
        <w:tblW w:w="8420" w:type="dxa"/>
        <w:tblInd w:w="0" w:type="dxa"/>
        <w:shd w:val="clear" w:color="auto" w:fill="auto"/>
        <w:tblLayout w:type="autofit"/>
        <w:tblCellMar>
          <w:top w:w="0" w:type="dxa"/>
          <w:left w:w="108" w:type="dxa"/>
          <w:bottom w:w="0" w:type="dxa"/>
          <w:right w:w="108" w:type="dxa"/>
        </w:tblCellMar>
      </w:tblPr>
      <w:tblGrid>
        <w:gridCol w:w="2933"/>
        <w:gridCol w:w="1859"/>
        <w:gridCol w:w="1869"/>
        <w:gridCol w:w="1759"/>
      </w:tblGrid>
      <w:tr>
        <w:tblPrEx>
          <w:shd w:val="clear" w:color="auto" w:fill="auto"/>
          <w:tblCellMar>
            <w:top w:w="0" w:type="dxa"/>
            <w:left w:w="108" w:type="dxa"/>
            <w:bottom w:w="0" w:type="dxa"/>
            <w:right w:w="108" w:type="dxa"/>
          </w:tblCellMar>
        </w:tblPrEx>
        <w:trPr>
          <w:trHeight w:val="641" w:hRule="atLeast"/>
        </w:trPr>
        <w:tc>
          <w:tcPr>
            <w:tcW w:w="8420" w:type="dxa"/>
            <w:gridSpan w:val="4"/>
            <w:tcBorders>
              <w:top w:val="nil"/>
              <w:left w:val="nil"/>
              <w:bottom w:val="nil"/>
              <w:right w:val="nil"/>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资产负债表（续）</w:t>
            </w:r>
          </w:p>
        </w:tc>
      </w:tr>
      <w:tr>
        <w:tblPrEx>
          <w:tblCellMar>
            <w:top w:w="0" w:type="dxa"/>
            <w:left w:w="108" w:type="dxa"/>
            <w:bottom w:w="0" w:type="dxa"/>
            <w:right w:w="108" w:type="dxa"/>
          </w:tblCellMar>
        </w:tblPrEx>
        <w:trPr>
          <w:trHeight w:val="240" w:hRule="atLeast"/>
        </w:trPr>
        <w:tc>
          <w:tcPr>
            <w:tcW w:w="6661" w:type="dxa"/>
            <w:gridSpan w:val="3"/>
            <w:tcBorders>
              <w:top w:val="nil"/>
              <w:left w:val="nil"/>
              <w:bottom w:val="single" w:color="000000" w:sz="4" w:space="0"/>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编制单位:山东华拖农业装备有限公司</w:t>
            </w:r>
          </w:p>
        </w:tc>
        <w:tc>
          <w:tcPr>
            <w:tcW w:w="1759" w:type="dxa"/>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单位：元</w:t>
            </w:r>
          </w:p>
        </w:tc>
      </w:tr>
      <w:tr>
        <w:tblPrEx>
          <w:tblCellMar>
            <w:top w:w="0" w:type="dxa"/>
            <w:left w:w="108" w:type="dxa"/>
            <w:bottom w:w="0" w:type="dxa"/>
            <w:right w:w="108" w:type="dxa"/>
          </w:tblCellMar>
        </w:tblPrEx>
        <w:trPr>
          <w:trHeight w:val="260" w:hRule="atLeast"/>
        </w:trPr>
        <w:tc>
          <w:tcPr>
            <w:tcW w:w="2933"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负债及所有者权益</w:t>
            </w:r>
            <w:r>
              <w:rPr>
                <w:rFonts w:hint="eastAsia" w:ascii="宋体" w:hAnsi="宋体" w:eastAsia="宋体" w:cs="宋体"/>
                <w:i w:val="0"/>
                <w:iCs w:val="0"/>
                <w:color w:val="000000"/>
                <w:kern w:val="0"/>
                <w:sz w:val="18"/>
                <w:szCs w:val="18"/>
                <w:u w:val="none"/>
                <w:lang w:val="en-US" w:eastAsia="zh-CN" w:bidi="ar"/>
              </w:rPr>
              <w:t>（或股东权益）</w:t>
            </w:r>
          </w:p>
        </w:tc>
        <w:tc>
          <w:tcPr>
            <w:tcW w:w="1859"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r>
              <w:rPr>
                <w:rFonts w:hint="eastAsia" w:ascii="宋体" w:hAnsi="宋体" w:cs="宋体"/>
                <w:i w:val="0"/>
                <w:iCs w:val="0"/>
                <w:color w:val="000000"/>
                <w:kern w:val="0"/>
                <w:sz w:val="20"/>
                <w:szCs w:val="20"/>
                <w:u w:val="none"/>
                <w:lang w:val="en-US" w:eastAsia="zh-CN" w:bidi="ar"/>
              </w:rPr>
              <w:t>19</w:t>
            </w:r>
            <w:r>
              <w:rPr>
                <w:rFonts w:hint="eastAsia" w:ascii="宋体" w:hAnsi="宋体" w:eastAsia="宋体" w:cs="宋体"/>
                <w:i w:val="0"/>
                <w:iCs w:val="0"/>
                <w:color w:val="000000"/>
                <w:kern w:val="0"/>
                <w:sz w:val="20"/>
                <w:szCs w:val="20"/>
                <w:u w:val="none"/>
                <w:lang w:val="en-US" w:eastAsia="zh-CN" w:bidi="ar"/>
              </w:rPr>
              <w:t>年1</w:t>
            </w:r>
            <w:r>
              <w:rPr>
                <w:rFonts w:hint="eastAsia" w:ascii="宋体" w:hAnsi="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月</w:t>
            </w:r>
            <w:r>
              <w:rPr>
                <w:rFonts w:hint="eastAsia" w:ascii="宋体" w:hAnsi="宋体" w:cs="宋体"/>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1日</w:t>
            </w:r>
          </w:p>
        </w:tc>
        <w:tc>
          <w:tcPr>
            <w:tcW w:w="1869"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2020年12月31日</w:t>
            </w: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2021年5月31日</w:t>
            </w:r>
          </w:p>
        </w:tc>
      </w:tr>
      <w:tr>
        <w:tblPrEx>
          <w:tblCellMar>
            <w:top w:w="0" w:type="dxa"/>
            <w:left w:w="108" w:type="dxa"/>
            <w:bottom w:w="0" w:type="dxa"/>
            <w:right w:w="108" w:type="dxa"/>
          </w:tblCellMar>
        </w:tblPrEx>
        <w:trPr>
          <w:trHeight w:val="260" w:hRule="atLeast"/>
        </w:trPr>
        <w:tc>
          <w:tcPr>
            <w:tcW w:w="293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流动负债：</w:t>
            </w:r>
          </w:p>
        </w:tc>
        <w:tc>
          <w:tcPr>
            <w:tcW w:w="18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60" w:hRule="atLeast"/>
        </w:trPr>
        <w:tc>
          <w:tcPr>
            <w:tcW w:w="293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短期借款 </w:t>
            </w:r>
          </w:p>
        </w:tc>
        <w:tc>
          <w:tcPr>
            <w:tcW w:w="18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60" w:hRule="atLeast"/>
        </w:trPr>
        <w:tc>
          <w:tcPr>
            <w:tcW w:w="293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交易性金融负债</w:t>
            </w:r>
          </w:p>
        </w:tc>
        <w:tc>
          <w:tcPr>
            <w:tcW w:w="18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60" w:hRule="atLeast"/>
        </w:trPr>
        <w:tc>
          <w:tcPr>
            <w:tcW w:w="293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应付票据 </w:t>
            </w:r>
          </w:p>
        </w:tc>
        <w:tc>
          <w:tcPr>
            <w:tcW w:w="18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60" w:hRule="atLeast"/>
        </w:trPr>
        <w:tc>
          <w:tcPr>
            <w:tcW w:w="293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应付账款 </w:t>
            </w:r>
          </w:p>
        </w:tc>
        <w:tc>
          <w:tcPr>
            <w:tcW w:w="18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1,339,221.46 </w:t>
            </w:r>
          </w:p>
        </w:tc>
        <w:tc>
          <w:tcPr>
            <w:tcW w:w="18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5,676,337.25 </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5,827,125.00 </w:t>
            </w:r>
          </w:p>
        </w:tc>
      </w:tr>
      <w:tr>
        <w:tblPrEx>
          <w:tblCellMar>
            <w:top w:w="0" w:type="dxa"/>
            <w:left w:w="108" w:type="dxa"/>
            <w:bottom w:w="0" w:type="dxa"/>
            <w:right w:w="108" w:type="dxa"/>
          </w:tblCellMar>
        </w:tblPrEx>
        <w:trPr>
          <w:trHeight w:val="260" w:hRule="atLeast"/>
        </w:trPr>
        <w:tc>
          <w:tcPr>
            <w:tcW w:w="293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预收账款 </w:t>
            </w:r>
          </w:p>
        </w:tc>
        <w:tc>
          <w:tcPr>
            <w:tcW w:w="18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60" w:hRule="atLeast"/>
        </w:trPr>
        <w:tc>
          <w:tcPr>
            <w:tcW w:w="293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应付职工薪酬 </w:t>
            </w:r>
          </w:p>
        </w:tc>
        <w:tc>
          <w:tcPr>
            <w:tcW w:w="18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60" w:hRule="atLeast"/>
        </w:trPr>
        <w:tc>
          <w:tcPr>
            <w:tcW w:w="293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应交税费 </w:t>
            </w:r>
          </w:p>
        </w:tc>
        <w:tc>
          <w:tcPr>
            <w:tcW w:w="18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52,018.05 </w:t>
            </w:r>
          </w:p>
        </w:tc>
        <w:tc>
          <w:tcPr>
            <w:tcW w:w="18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-34,109.11 </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-127,673.44 </w:t>
            </w:r>
          </w:p>
        </w:tc>
      </w:tr>
      <w:tr>
        <w:tblPrEx>
          <w:tblCellMar>
            <w:top w:w="0" w:type="dxa"/>
            <w:left w:w="108" w:type="dxa"/>
            <w:bottom w:w="0" w:type="dxa"/>
            <w:right w:w="108" w:type="dxa"/>
          </w:tblCellMar>
        </w:tblPrEx>
        <w:trPr>
          <w:trHeight w:val="260" w:hRule="atLeast"/>
        </w:trPr>
        <w:tc>
          <w:tcPr>
            <w:tcW w:w="293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应付利息 </w:t>
            </w:r>
          </w:p>
        </w:tc>
        <w:tc>
          <w:tcPr>
            <w:tcW w:w="18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60" w:hRule="atLeast"/>
        </w:trPr>
        <w:tc>
          <w:tcPr>
            <w:tcW w:w="293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应付股利 </w:t>
            </w:r>
          </w:p>
        </w:tc>
        <w:tc>
          <w:tcPr>
            <w:tcW w:w="18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0" w:hRule="atLeast"/>
        </w:trPr>
        <w:tc>
          <w:tcPr>
            <w:tcW w:w="293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其他应付款 </w:t>
            </w:r>
          </w:p>
        </w:tc>
        <w:tc>
          <w:tcPr>
            <w:tcW w:w="18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20" w:hRule="atLeast"/>
        </w:trPr>
        <w:tc>
          <w:tcPr>
            <w:tcW w:w="293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一年内到期的非流动负债 </w:t>
            </w:r>
          </w:p>
        </w:tc>
        <w:tc>
          <w:tcPr>
            <w:tcW w:w="18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60" w:hRule="atLeast"/>
        </w:trPr>
        <w:tc>
          <w:tcPr>
            <w:tcW w:w="293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其他流动负债 </w:t>
            </w:r>
          </w:p>
        </w:tc>
        <w:tc>
          <w:tcPr>
            <w:tcW w:w="18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60" w:hRule="atLeast"/>
        </w:trPr>
        <w:tc>
          <w:tcPr>
            <w:tcW w:w="293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流动负债合计 </w:t>
            </w:r>
          </w:p>
        </w:tc>
        <w:tc>
          <w:tcPr>
            <w:tcW w:w="18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1,391,239.51 </w:t>
            </w:r>
          </w:p>
        </w:tc>
        <w:tc>
          <w:tcPr>
            <w:tcW w:w="186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5,642,228.14 </w:t>
            </w: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5,699,451.56 </w:t>
            </w:r>
          </w:p>
        </w:tc>
      </w:tr>
      <w:tr>
        <w:tblPrEx>
          <w:tblCellMar>
            <w:top w:w="0" w:type="dxa"/>
            <w:left w:w="108" w:type="dxa"/>
            <w:bottom w:w="0" w:type="dxa"/>
            <w:right w:w="108" w:type="dxa"/>
          </w:tblCellMar>
        </w:tblPrEx>
        <w:trPr>
          <w:trHeight w:val="260" w:hRule="atLeast"/>
        </w:trPr>
        <w:tc>
          <w:tcPr>
            <w:tcW w:w="293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非流动负债： </w:t>
            </w:r>
          </w:p>
        </w:tc>
        <w:tc>
          <w:tcPr>
            <w:tcW w:w="18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60" w:hRule="atLeast"/>
        </w:trPr>
        <w:tc>
          <w:tcPr>
            <w:tcW w:w="293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长期借款 </w:t>
            </w:r>
          </w:p>
        </w:tc>
        <w:tc>
          <w:tcPr>
            <w:tcW w:w="18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60" w:hRule="atLeast"/>
        </w:trPr>
        <w:tc>
          <w:tcPr>
            <w:tcW w:w="293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应付债券 </w:t>
            </w:r>
          </w:p>
        </w:tc>
        <w:tc>
          <w:tcPr>
            <w:tcW w:w="18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60" w:hRule="atLeast"/>
        </w:trPr>
        <w:tc>
          <w:tcPr>
            <w:tcW w:w="293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长期应付款</w:t>
            </w:r>
          </w:p>
        </w:tc>
        <w:tc>
          <w:tcPr>
            <w:tcW w:w="18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60" w:hRule="atLeast"/>
        </w:trPr>
        <w:tc>
          <w:tcPr>
            <w:tcW w:w="293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专项应付款 </w:t>
            </w:r>
          </w:p>
        </w:tc>
        <w:tc>
          <w:tcPr>
            <w:tcW w:w="18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60" w:hRule="atLeast"/>
        </w:trPr>
        <w:tc>
          <w:tcPr>
            <w:tcW w:w="293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预计负债</w:t>
            </w:r>
          </w:p>
        </w:tc>
        <w:tc>
          <w:tcPr>
            <w:tcW w:w="18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60" w:hRule="atLeast"/>
        </w:trPr>
        <w:tc>
          <w:tcPr>
            <w:tcW w:w="293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递延所得税负债 </w:t>
            </w:r>
          </w:p>
        </w:tc>
        <w:tc>
          <w:tcPr>
            <w:tcW w:w="18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60" w:hRule="atLeast"/>
        </w:trPr>
        <w:tc>
          <w:tcPr>
            <w:tcW w:w="293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其他非流动负债 </w:t>
            </w:r>
          </w:p>
        </w:tc>
        <w:tc>
          <w:tcPr>
            <w:tcW w:w="18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60" w:hRule="atLeast"/>
        </w:trPr>
        <w:tc>
          <w:tcPr>
            <w:tcW w:w="293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非流动负债合计 </w:t>
            </w:r>
          </w:p>
        </w:tc>
        <w:tc>
          <w:tcPr>
            <w:tcW w:w="18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60" w:hRule="atLeast"/>
        </w:trPr>
        <w:tc>
          <w:tcPr>
            <w:tcW w:w="293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负债合计 </w:t>
            </w:r>
          </w:p>
        </w:tc>
        <w:tc>
          <w:tcPr>
            <w:tcW w:w="18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1,391,239.51 </w:t>
            </w:r>
          </w:p>
        </w:tc>
        <w:tc>
          <w:tcPr>
            <w:tcW w:w="186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5,642,228.14 </w:t>
            </w: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5,699,451.56 </w:t>
            </w:r>
          </w:p>
        </w:tc>
      </w:tr>
      <w:tr>
        <w:tblPrEx>
          <w:tblCellMar>
            <w:top w:w="0" w:type="dxa"/>
            <w:left w:w="108" w:type="dxa"/>
            <w:bottom w:w="0" w:type="dxa"/>
            <w:right w:w="108" w:type="dxa"/>
          </w:tblCellMar>
        </w:tblPrEx>
        <w:trPr>
          <w:trHeight w:val="260" w:hRule="atLeast"/>
        </w:trPr>
        <w:tc>
          <w:tcPr>
            <w:tcW w:w="293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8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60" w:hRule="atLeast"/>
        </w:trPr>
        <w:tc>
          <w:tcPr>
            <w:tcW w:w="2933"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eastAsia" w:ascii="宋体" w:hAnsi="宋体" w:eastAsia="宋体" w:cs="宋体"/>
                <w:i w:val="0"/>
                <w:iCs w:val="0"/>
                <w:color w:val="000000"/>
                <w:sz w:val="20"/>
                <w:szCs w:val="20"/>
                <w:u w:val="none"/>
              </w:rPr>
            </w:pPr>
          </w:p>
        </w:tc>
        <w:tc>
          <w:tcPr>
            <w:tcW w:w="18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293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所有者权益（或股东权益）： </w:t>
            </w:r>
          </w:p>
        </w:tc>
        <w:tc>
          <w:tcPr>
            <w:tcW w:w="18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60" w:hRule="atLeast"/>
        </w:trPr>
        <w:tc>
          <w:tcPr>
            <w:tcW w:w="293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实收资本（或股本） </w:t>
            </w:r>
          </w:p>
        </w:tc>
        <w:tc>
          <w:tcPr>
            <w:tcW w:w="18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600,000.00 </w:t>
            </w:r>
          </w:p>
        </w:tc>
        <w:tc>
          <w:tcPr>
            <w:tcW w:w="18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2,200,000.00 </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2,200,000.00 </w:t>
            </w:r>
          </w:p>
        </w:tc>
      </w:tr>
      <w:tr>
        <w:tblPrEx>
          <w:tblCellMar>
            <w:top w:w="0" w:type="dxa"/>
            <w:left w:w="108" w:type="dxa"/>
            <w:bottom w:w="0" w:type="dxa"/>
            <w:right w:w="108" w:type="dxa"/>
          </w:tblCellMar>
        </w:tblPrEx>
        <w:trPr>
          <w:trHeight w:val="260" w:hRule="atLeast"/>
        </w:trPr>
        <w:tc>
          <w:tcPr>
            <w:tcW w:w="293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资本公积 </w:t>
            </w:r>
          </w:p>
        </w:tc>
        <w:tc>
          <w:tcPr>
            <w:tcW w:w="18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60" w:hRule="atLeast"/>
        </w:trPr>
        <w:tc>
          <w:tcPr>
            <w:tcW w:w="293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盈余公积 </w:t>
            </w:r>
          </w:p>
        </w:tc>
        <w:tc>
          <w:tcPr>
            <w:tcW w:w="18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36,715.10 </w:t>
            </w: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36,715.10 </w:t>
            </w:r>
          </w:p>
        </w:tc>
      </w:tr>
      <w:tr>
        <w:tblPrEx>
          <w:tblCellMar>
            <w:top w:w="0" w:type="dxa"/>
            <w:left w:w="108" w:type="dxa"/>
            <w:bottom w:w="0" w:type="dxa"/>
            <w:right w:w="108" w:type="dxa"/>
          </w:tblCellMar>
        </w:tblPrEx>
        <w:trPr>
          <w:trHeight w:val="260" w:hRule="atLeast"/>
        </w:trPr>
        <w:tc>
          <w:tcPr>
            <w:tcW w:w="293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未分配利润 </w:t>
            </w:r>
          </w:p>
        </w:tc>
        <w:tc>
          <w:tcPr>
            <w:tcW w:w="18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1,204.40 </w:t>
            </w:r>
          </w:p>
        </w:tc>
        <w:tc>
          <w:tcPr>
            <w:tcW w:w="186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331,640.25 </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508,462.11 </w:t>
            </w:r>
          </w:p>
        </w:tc>
      </w:tr>
      <w:tr>
        <w:tblPrEx>
          <w:tblCellMar>
            <w:top w:w="0" w:type="dxa"/>
            <w:left w:w="108" w:type="dxa"/>
            <w:bottom w:w="0" w:type="dxa"/>
            <w:right w:w="108" w:type="dxa"/>
          </w:tblCellMar>
        </w:tblPrEx>
        <w:trPr>
          <w:trHeight w:val="520" w:hRule="atLeast"/>
        </w:trPr>
        <w:tc>
          <w:tcPr>
            <w:tcW w:w="293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所有者权益（或股东权益）合计 </w:t>
            </w:r>
          </w:p>
        </w:tc>
        <w:tc>
          <w:tcPr>
            <w:tcW w:w="18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601,204.40 </w:t>
            </w:r>
          </w:p>
        </w:tc>
        <w:tc>
          <w:tcPr>
            <w:tcW w:w="186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2,568,355.35 </w:t>
            </w: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2,745,177.21 </w:t>
            </w:r>
          </w:p>
        </w:tc>
      </w:tr>
      <w:tr>
        <w:tblPrEx>
          <w:tblCellMar>
            <w:top w:w="0" w:type="dxa"/>
            <w:left w:w="108" w:type="dxa"/>
            <w:bottom w:w="0" w:type="dxa"/>
            <w:right w:w="108" w:type="dxa"/>
          </w:tblCellMar>
        </w:tblPrEx>
        <w:trPr>
          <w:trHeight w:val="600" w:hRule="atLeast"/>
        </w:trPr>
        <w:tc>
          <w:tcPr>
            <w:tcW w:w="293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负债和所有者权益（或股东权益）总计 </w:t>
            </w:r>
          </w:p>
        </w:tc>
        <w:tc>
          <w:tcPr>
            <w:tcW w:w="18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1,992,443.91 </w:t>
            </w:r>
          </w:p>
        </w:tc>
        <w:tc>
          <w:tcPr>
            <w:tcW w:w="186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8,210,583.49 </w:t>
            </w: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8,444,628.77 </w:t>
            </w:r>
          </w:p>
        </w:tc>
      </w:tr>
    </w:tbl>
    <w:p>
      <w:pPr>
        <w:numPr>
          <w:ilvl w:val="0"/>
          <w:numId w:val="0"/>
        </w:numPr>
        <w:ind w:firstLine="480" w:firstLineChars="200"/>
        <w:rPr>
          <w:rFonts w:ascii="宋体" w:hAnsi="宋体"/>
        </w:rPr>
      </w:pPr>
      <w:bookmarkStart w:id="59" w:name="_Toc248204896"/>
      <w:r>
        <w:rPr>
          <w:rFonts w:hint="eastAsia" w:ascii="宋体" w:hAnsi="宋体"/>
          <w:lang w:val="en-US" w:eastAsia="zh-CN"/>
        </w:rPr>
        <w:t>2、</w:t>
      </w:r>
      <w:r>
        <w:rPr>
          <w:rFonts w:hint="eastAsia" w:ascii="宋体" w:hAnsi="宋体"/>
        </w:rPr>
        <w:t>利润表</w:t>
      </w:r>
      <w:bookmarkEnd w:id="59"/>
      <w:bookmarkStart w:id="60" w:name="_Hlk37328834"/>
    </w:p>
    <w:tbl>
      <w:tblPr>
        <w:tblStyle w:val="13"/>
        <w:tblpPr w:leftFromText="180" w:rightFromText="180" w:vertAnchor="text" w:horzAnchor="page" w:tblpX="1722" w:tblpY="476"/>
        <w:tblOverlap w:val="never"/>
        <w:tblW w:w="8520" w:type="dxa"/>
        <w:tblInd w:w="0" w:type="dxa"/>
        <w:shd w:val="clear" w:color="auto" w:fill="auto"/>
        <w:tblLayout w:type="autofit"/>
        <w:tblCellMar>
          <w:top w:w="0" w:type="dxa"/>
          <w:left w:w="108" w:type="dxa"/>
          <w:bottom w:w="0" w:type="dxa"/>
          <w:right w:w="108" w:type="dxa"/>
        </w:tblCellMar>
      </w:tblPr>
      <w:tblGrid>
        <w:gridCol w:w="4919"/>
        <w:gridCol w:w="1800"/>
        <w:gridCol w:w="1801"/>
      </w:tblGrid>
      <w:tr>
        <w:tblPrEx>
          <w:shd w:val="clear" w:color="auto" w:fill="auto"/>
          <w:tblCellMar>
            <w:top w:w="0" w:type="dxa"/>
            <w:left w:w="108" w:type="dxa"/>
            <w:bottom w:w="0" w:type="dxa"/>
            <w:right w:w="108" w:type="dxa"/>
          </w:tblCellMar>
        </w:tblPrEx>
        <w:trPr>
          <w:trHeight w:val="635" w:hRule="atLeast"/>
        </w:trPr>
        <w:tc>
          <w:tcPr>
            <w:tcW w:w="8520" w:type="dxa"/>
            <w:gridSpan w:val="3"/>
            <w:tcBorders>
              <w:top w:val="nil"/>
              <w:left w:val="nil"/>
              <w:bottom w:val="nil"/>
              <w:right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利润表</w:t>
            </w:r>
          </w:p>
        </w:tc>
      </w:tr>
      <w:tr>
        <w:tblPrEx>
          <w:tblCellMar>
            <w:top w:w="0" w:type="dxa"/>
            <w:left w:w="108" w:type="dxa"/>
            <w:bottom w:w="0" w:type="dxa"/>
            <w:right w:w="108" w:type="dxa"/>
          </w:tblCellMar>
        </w:tblPrEx>
        <w:trPr>
          <w:trHeight w:val="476" w:hRule="atLeast"/>
        </w:trPr>
        <w:tc>
          <w:tcPr>
            <w:tcW w:w="6719" w:type="dxa"/>
            <w:gridSpan w:val="2"/>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编制单位:山东华拖农业装备有限公司</w:t>
            </w:r>
          </w:p>
        </w:tc>
        <w:tc>
          <w:tcPr>
            <w:tcW w:w="0" w:type="auto"/>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单位：元</w:t>
            </w:r>
          </w:p>
        </w:tc>
      </w:tr>
      <w:tr>
        <w:tblPrEx>
          <w:tblCellMar>
            <w:top w:w="0" w:type="dxa"/>
            <w:left w:w="108" w:type="dxa"/>
            <w:bottom w:w="0" w:type="dxa"/>
            <w:right w:w="108" w:type="dxa"/>
          </w:tblCellMar>
        </w:tblPrEx>
        <w:trPr>
          <w:trHeight w:val="48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2020年度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2021年1-5月</w:t>
            </w:r>
          </w:p>
        </w:tc>
      </w:tr>
      <w:tr>
        <w:tblPrEx>
          <w:tblCellMar>
            <w:top w:w="0" w:type="dxa"/>
            <w:left w:w="108" w:type="dxa"/>
            <w:bottom w:w="0" w:type="dxa"/>
            <w:right w:w="108" w:type="dxa"/>
          </w:tblCellMar>
        </w:tblPrEx>
        <w:trPr>
          <w:trHeight w:val="48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一、营业收入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79,349,578.33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44,600,187.32 </w:t>
            </w:r>
          </w:p>
        </w:tc>
      </w:tr>
      <w:tr>
        <w:tblPrEx>
          <w:tblCellMar>
            <w:top w:w="0" w:type="dxa"/>
            <w:left w:w="108" w:type="dxa"/>
            <w:bottom w:w="0" w:type="dxa"/>
            <w:right w:w="108" w:type="dxa"/>
          </w:tblCellMar>
        </w:tblPrEx>
        <w:trPr>
          <w:trHeight w:val="48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减：营业成本</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74,824,044.45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42,354,756.20 </w:t>
            </w:r>
          </w:p>
        </w:tc>
      </w:tr>
      <w:tr>
        <w:tblPrEx>
          <w:tblCellMar>
            <w:top w:w="0" w:type="dxa"/>
            <w:left w:w="108" w:type="dxa"/>
            <w:bottom w:w="0" w:type="dxa"/>
            <w:right w:w="108" w:type="dxa"/>
          </w:tblCellMar>
        </w:tblPrEx>
        <w:trPr>
          <w:trHeight w:val="48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营业税金及附加</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20,954.80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10,315.50 </w:t>
            </w:r>
          </w:p>
        </w:tc>
      </w:tr>
      <w:tr>
        <w:tblPrEx>
          <w:tblCellMar>
            <w:top w:w="0" w:type="dxa"/>
            <w:left w:w="108" w:type="dxa"/>
            <w:bottom w:w="0" w:type="dxa"/>
            <w:right w:w="108" w:type="dxa"/>
          </w:tblCellMar>
        </w:tblPrEx>
        <w:trPr>
          <w:trHeight w:val="48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销售费用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1,021,938.41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667,069.02 </w:t>
            </w:r>
          </w:p>
        </w:tc>
      </w:tr>
      <w:tr>
        <w:tblPrEx>
          <w:tblCellMar>
            <w:top w:w="0" w:type="dxa"/>
            <w:left w:w="108" w:type="dxa"/>
            <w:bottom w:w="0" w:type="dxa"/>
            <w:right w:w="108" w:type="dxa"/>
          </w:tblCellMar>
        </w:tblPrEx>
        <w:trPr>
          <w:trHeight w:val="48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管理费用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3,117,067.92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1,392,987.34 </w:t>
            </w:r>
          </w:p>
        </w:tc>
      </w:tr>
      <w:tr>
        <w:tblPrEx>
          <w:tblCellMar>
            <w:top w:w="0" w:type="dxa"/>
            <w:left w:w="108" w:type="dxa"/>
            <w:bottom w:w="0" w:type="dxa"/>
            <w:right w:w="108" w:type="dxa"/>
          </w:tblCellMar>
        </w:tblPrEx>
        <w:trPr>
          <w:trHeight w:val="48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财务费用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-3,624.80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-1,762.60 </w:t>
            </w:r>
          </w:p>
        </w:tc>
      </w:tr>
      <w:tr>
        <w:tblPrEx>
          <w:tblCellMar>
            <w:top w:w="0" w:type="dxa"/>
            <w:left w:w="108" w:type="dxa"/>
            <w:bottom w:w="0" w:type="dxa"/>
            <w:right w:w="108" w:type="dxa"/>
          </w:tblCellMar>
        </w:tblPrEx>
        <w:trPr>
          <w:trHeight w:val="48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资产减值损失</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8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加：公允价值变动收益（损失以“-”号填列）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8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投资收益（损失以“-”号填列）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8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二、营业利润（亏损以“-”号填列）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369,197.55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176,821.86 </w:t>
            </w:r>
          </w:p>
        </w:tc>
      </w:tr>
      <w:tr>
        <w:tblPrEx>
          <w:tblCellMar>
            <w:top w:w="0" w:type="dxa"/>
            <w:left w:w="108" w:type="dxa"/>
            <w:bottom w:w="0" w:type="dxa"/>
            <w:right w:w="108" w:type="dxa"/>
          </w:tblCellMar>
        </w:tblPrEx>
        <w:trPr>
          <w:trHeight w:val="48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加：营业外收入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8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减：营业外支出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8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三、利润总额（亏损总额以“-”号填列）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369,197.55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176,821.86 </w:t>
            </w:r>
          </w:p>
        </w:tc>
      </w:tr>
      <w:tr>
        <w:tblPrEx>
          <w:tblCellMar>
            <w:top w:w="0" w:type="dxa"/>
            <w:left w:w="108" w:type="dxa"/>
            <w:bottom w:w="0" w:type="dxa"/>
            <w:right w:w="108" w:type="dxa"/>
          </w:tblCellMar>
        </w:tblPrEx>
        <w:trPr>
          <w:trHeight w:val="48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减：所得税费用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2,046.60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9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四、净利润（净亏损以“-”号填列）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367,150.95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176,821.86 </w:t>
            </w:r>
          </w:p>
        </w:tc>
      </w:tr>
    </w:tbl>
    <w:p>
      <w:pPr>
        <w:rPr>
          <w:rFonts w:ascii="宋体" w:hAnsi="宋体"/>
        </w:rPr>
      </w:pPr>
    </w:p>
    <w:bookmarkEnd w:id="60"/>
    <w:p>
      <w:pPr>
        <w:numPr>
          <w:ilvl w:val="0"/>
          <w:numId w:val="0"/>
        </w:numPr>
        <w:ind w:firstLine="480" w:firstLineChars="200"/>
        <w:rPr>
          <w:rFonts w:hint="eastAsia" w:ascii="宋体" w:hAnsi="宋体"/>
        </w:rPr>
      </w:pPr>
      <w:bookmarkStart w:id="61" w:name="_Toc248204897"/>
      <w:r>
        <w:rPr>
          <w:rFonts w:hint="eastAsia" w:ascii="宋体" w:hAnsi="宋体"/>
          <w:lang w:val="en-US" w:eastAsia="zh-CN"/>
        </w:rPr>
        <w:t>3、</w:t>
      </w:r>
      <w:r>
        <w:rPr>
          <w:rFonts w:hint="eastAsia" w:ascii="宋体" w:hAnsi="宋体"/>
        </w:rPr>
        <w:t>现金流量表</w:t>
      </w:r>
      <w:bookmarkEnd w:id="61"/>
    </w:p>
    <w:tbl>
      <w:tblPr>
        <w:tblStyle w:val="13"/>
        <w:tblpPr w:leftFromText="180" w:rightFromText="180" w:vertAnchor="text" w:horzAnchor="page" w:tblpX="1655" w:tblpY="516"/>
        <w:tblOverlap w:val="never"/>
        <w:tblW w:w="8640" w:type="dxa"/>
        <w:tblInd w:w="0" w:type="dxa"/>
        <w:shd w:val="clear" w:color="auto" w:fill="auto"/>
        <w:tblLayout w:type="autofit"/>
        <w:tblCellMar>
          <w:top w:w="0" w:type="dxa"/>
          <w:left w:w="108" w:type="dxa"/>
          <w:bottom w:w="0" w:type="dxa"/>
          <w:right w:w="108" w:type="dxa"/>
        </w:tblCellMar>
      </w:tblPr>
      <w:tblGrid>
        <w:gridCol w:w="5616"/>
        <w:gridCol w:w="1616"/>
        <w:gridCol w:w="1616"/>
      </w:tblGrid>
      <w:tr>
        <w:tblPrEx>
          <w:shd w:val="clear" w:color="auto" w:fill="auto"/>
          <w:tblCellMar>
            <w:top w:w="0" w:type="dxa"/>
            <w:left w:w="108" w:type="dxa"/>
            <w:bottom w:w="0" w:type="dxa"/>
            <w:right w:w="108" w:type="dxa"/>
          </w:tblCellMar>
        </w:tblPrEx>
        <w:trPr>
          <w:trHeight w:val="635" w:hRule="atLeast"/>
        </w:trPr>
        <w:tc>
          <w:tcPr>
            <w:tcW w:w="8640" w:type="dxa"/>
            <w:gridSpan w:val="3"/>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现金流量表</w:t>
            </w:r>
          </w:p>
        </w:tc>
      </w:tr>
      <w:tr>
        <w:tblPrEx>
          <w:tblCellMar>
            <w:top w:w="0" w:type="dxa"/>
            <w:left w:w="108" w:type="dxa"/>
            <w:bottom w:w="0" w:type="dxa"/>
            <w:right w:w="108" w:type="dxa"/>
          </w:tblCellMar>
        </w:tblPrEx>
        <w:trPr>
          <w:trHeight w:val="477"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编制单位:山东华拖农业装备有限公司</w:t>
            </w: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单位：元</w:t>
            </w:r>
          </w:p>
        </w:tc>
      </w:tr>
      <w:tr>
        <w:tblPrEx>
          <w:tblCellMar>
            <w:top w:w="0" w:type="dxa"/>
            <w:left w:w="108" w:type="dxa"/>
            <w:bottom w:w="0" w:type="dxa"/>
            <w:right w:w="108"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2020年度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2021年1-5月</w:t>
            </w:r>
          </w:p>
        </w:tc>
      </w:tr>
      <w:tr>
        <w:tblPrEx>
          <w:tblCellMar>
            <w:top w:w="0" w:type="dxa"/>
            <w:left w:w="108" w:type="dxa"/>
            <w:bottom w:w="0" w:type="dxa"/>
            <w:right w:w="108"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一、经营活动产生的现金流量：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83" w:hRule="atLeast"/>
        </w:trPr>
        <w:tc>
          <w:tcPr>
            <w:tcW w:w="0" w:type="auto"/>
            <w:tcBorders>
              <w:top w:val="nil"/>
              <w:left w:val="single" w:color="000000" w:sz="4" w:space="0"/>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销售商品、提供劳务收到的现金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76,893,319.80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45,122,938.97 </w:t>
            </w:r>
          </w:p>
        </w:tc>
      </w:tr>
      <w:tr>
        <w:tblPrEx>
          <w:tblCellMar>
            <w:top w:w="0" w:type="dxa"/>
            <w:left w:w="108" w:type="dxa"/>
            <w:bottom w:w="0" w:type="dxa"/>
            <w:right w:w="108"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收到的税费返还</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收到其他与经营活动有关的现金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经营活动现金流入小计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76,893,319.80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45,122,938.97 </w:t>
            </w:r>
          </w:p>
        </w:tc>
      </w:tr>
      <w:tr>
        <w:tblPrEx>
          <w:tblCellMar>
            <w:top w:w="0" w:type="dxa"/>
            <w:left w:w="108" w:type="dxa"/>
            <w:bottom w:w="0" w:type="dxa"/>
            <w:right w:w="108" w:type="dxa"/>
          </w:tblCellMar>
        </w:tblPrEx>
        <w:trPr>
          <w:trHeight w:val="9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购买商品、接受劳务支付的现金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71,596,921.70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42,157,680.19 </w:t>
            </w:r>
          </w:p>
        </w:tc>
      </w:tr>
      <w:tr>
        <w:tblPrEx>
          <w:tblCellMar>
            <w:top w:w="0" w:type="dxa"/>
            <w:left w:w="108" w:type="dxa"/>
            <w:bottom w:w="0" w:type="dxa"/>
            <w:right w:w="108"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支付给职工以及为职工支付的现金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3,684,053.90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1,674,912.48 </w:t>
            </w:r>
          </w:p>
        </w:tc>
      </w:tr>
      <w:tr>
        <w:tblPrEx>
          <w:tblCellMar>
            <w:top w:w="0" w:type="dxa"/>
            <w:left w:w="108" w:type="dxa"/>
            <w:bottom w:w="0" w:type="dxa"/>
            <w:right w:w="108"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支付的各项税费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23,001.40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10,315.50 </w:t>
            </w:r>
          </w:p>
        </w:tc>
      </w:tr>
      <w:tr>
        <w:tblPrEx>
          <w:tblCellMar>
            <w:top w:w="0" w:type="dxa"/>
            <w:left w:w="108" w:type="dxa"/>
            <w:bottom w:w="0" w:type="dxa"/>
            <w:right w:w="108"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支付其他与经营活动有关的现金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2,639,006.33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1,223,481.36 </w:t>
            </w:r>
          </w:p>
        </w:tc>
      </w:tr>
      <w:tr>
        <w:tblPrEx>
          <w:tblCellMar>
            <w:top w:w="0" w:type="dxa"/>
            <w:left w:w="108" w:type="dxa"/>
            <w:bottom w:w="0" w:type="dxa"/>
            <w:right w:w="108" w:type="dxa"/>
          </w:tblCellMar>
        </w:tblPrEx>
        <w:trPr>
          <w:trHeight w:val="9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经营活动现金流出小计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77,942,983.33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45,066,389.53 </w:t>
            </w:r>
          </w:p>
        </w:tc>
      </w:tr>
      <w:tr>
        <w:tblPrEx>
          <w:tblCellMar>
            <w:top w:w="0" w:type="dxa"/>
            <w:left w:w="108" w:type="dxa"/>
            <w:bottom w:w="0" w:type="dxa"/>
            <w:right w:w="108" w:type="dxa"/>
          </w:tblCellMar>
        </w:tblPrEx>
        <w:trPr>
          <w:trHeight w:val="9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经营活动产生的现金流量净额</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-1,049,663.53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56,549.44 </w:t>
            </w:r>
          </w:p>
        </w:tc>
      </w:tr>
      <w:tr>
        <w:tblPrEx>
          <w:tblCellMar>
            <w:top w:w="0" w:type="dxa"/>
            <w:left w:w="108" w:type="dxa"/>
            <w:bottom w:w="0" w:type="dxa"/>
            <w:right w:w="108"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二、投资活动产生的现金流量：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收回投资收到的现金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取得投资收益收到的现金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处置固定资产、无形资产和其他长期资产收回的现金净额</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处置子公司及其他营业单位收到的现金净额</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收到其他与投资活动有关的现金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投资活动现金流入小计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21" w:hRule="atLeast"/>
        </w:trPr>
        <w:tc>
          <w:tcPr>
            <w:tcW w:w="0" w:type="auto"/>
            <w:tcBorders>
              <w:top w:val="nil"/>
              <w:left w:val="single" w:color="000000" w:sz="4" w:space="0"/>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购建固定资产、无形资产和其他长期资产支付的现金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   </w:t>
            </w:r>
          </w:p>
        </w:tc>
      </w:tr>
      <w:tr>
        <w:tblPrEx>
          <w:tblCellMar>
            <w:top w:w="0" w:type="dxa"/>
            <w:left w:w="108" w:type="dxa"/>
            <w:bottom w:w="0" w:type="dxa"/>
            <w:right w:w="108"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投资支付的现金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取得子公司及其他营业单位支付的现金净额</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支付其他与投资活动有关的现金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投资活动现金流出小计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   </w:t>
            </w:r>
          </w:p>
        </w:tc>
      </w:tr>
      <w:tr>
        <w:tblPrEx>
          <w:tblCellMar>
            <w:top w:w="0" w:type="dxa"/>
            <w:left w:w="108" w:type="dxa"/>
            <w:bottom w:w="0" w:type="dxa"/>
            <w:right w:w="108"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投资活动产生的现金流量净额</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   </w:t>
            </w:r>
          </w:p>
        </w:tc>
      </w:tr>
      <w:tr>
        <w:tblPrEx>
          <w:tblCellMar>
            <w:top w:w="0" w:type="dxa"/>
            <w:left w:w="108" w:type="dxa"/>
            <w:bottom w:w="0" w:type="dxa"/>
            <w:right w:w="108"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三、筹资活动产生的现金流量：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吸收投资收到的现金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1,600,000.00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   </w:t>
            </w:r>
          </w:p>
        </w:tc>
      </w:tr>
      <w:tr>
        <w:tblPrEx>
          <w:tblCellMar>
            <w:top w:w="0" w:type="dxa"/>
            <w:left w:w="108" w:type="dxa"/>
            <w:bottom w:w="0" w:type="dxa"/>
            <w:right w:w="108" w:type="dxa"/>
          </w:tblCellMar>
        </w:tblPrEx>
        <w:trPr>
          <w:trHeight w:val="521" w:hRule="atLeast"/>
        </w:trPr>
        <w:tc>
          <w:tcPr>
            <w:tcW w:w="0" w:type="auto"/>
            <w:tcBorders>
              <w:top w:val="nil"/>
              <w:left w:val="single" w:color="000000" w:sz="4" w:space="0"/>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取得借款收到的现金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   </w:t>
            </w:r>
          </w:p>
        </w:tc>
      </w:tr>
      <w:tr>
        <w:tblPrEx>
          <w:tblCellMar>
            <w:top w:w="0" w:type="dxa"/>
            <w:left w:w="108" w:type="dxa"/>
            <w:bottom w:w="0" w:type="dxa"/>
            <w:right w:w="108"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收到其他与筹资活动有关的现金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筹资活动现金流入小计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1,600,000.00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   </w:t>
            </w:r>
          </w:p>
        </w:tc>
      </w:tr>
      <w:tr>
        <w:tblPrEx>
          <w:tblCellMar>
            <w:top w:w="0" w:type="dxa"/>
            <w:left w:w="108" w:type="dxa"/>
            <w:bottom w:w="0" w:type="dxa"/>
            <w:right w:w="108"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偿还债务支付的现金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21" w:hRule="atLeast"/>
        </w:trPr>
        <w:tc>
          <w:tcPr>
            <w:tcW w:w="0" w:type="auto"/>
            <w:tcBorders>
              <w:top w:val="nil"/>
              <w:left w:val="single" w:color="000000" w:sz="4" w:space="0"/>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分配股利、利润或偿付利息支付的现金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支付其他与筹资活动有关的现金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筹资活动现金流出小计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   </w:t>
            </w:r>
          </w:p>
        </w:tc>
      </w:tr>
      <w:tr>
        <w:tblPrEx>
          <w:tblCellMar>
            <w:top w:w="0" w:type="dxa"/>
            <w:left w:w="108" w:type="dxa"/>
            <w:bottom w:w="0" w:type="dxa"/>
            <w:right w:w="108"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筹资活动产生的现金流量净额</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1,600,000.00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   </w:t>
            </w:r>
          </w:p>
        </w:tc>
      </w:tr>
      <w:tr>
        <w:tblPrEx>
          <w:tblCellMar>
            <w:top w:w="0" w:type="dxa"/>
            <w:left w:w="108" w:type="dxa"/>
            <w:bottom w:w="0" w:type="dxa"/>
            <w:right w:w="108"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四、汇率变动对现金及现金等价物的影响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五、现金及现金等价物净增加额</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550,336.47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56,549.44 </w:t>
            </w:r>
          </w:p>
        </w:tc>
      </w:tr>
      <w:tr>
        <w:tblPrEx>
          <w:tblCellMar>
            <w:top w:w="0" w:type="dxa"/>
            <w:left w:w="108" w:type="dxa"/>
            <w:bottom w:w="0" w:type="dxa"/>
            <w:right w:w="108"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加：期初现金及现金等价物余额</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29,425.38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579,761.85 </w:t>
            </w:r>
          </w:p>
        </w:tc>
      </w:tr>
      <w:tr>
        <w:tblPrEx>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六、期末现金及现金等价物余额</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579,761.85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636,311.29 </w:t>
            </w:r>
          </w:p>
        </w:tc>
      </w:tr>
    </w:tbl>
    <w:p>
      <w:pPr>
        <w:ind w:firstLine="480" w:firstLineChars="200"/>
        <w:rPr>
          <w:rFonts w:ascii="仿宋" w:hAnsi="仿宋" w:eastAsia="仿宋" w:cs="仿宋"/>
          <w:sz w:val="32"/>
          <w:szCs w:val="32"/>
        </w:rPr>
      </w:pPr>
      <w:r>
        <w:rPr>
          <w:rFonts w:hint="eastAsia" w:ascii="宋体" w:hAnsi="宋体"/>
        </w:rPr>
        <w:t>公司</w:t>
      </w:r>
      <w:r>
        <w:rPr>
          <w:rFonts w:ascii="宋体" w:hAnsi="宋体"/>
        </w:rPr>
        <w:t>报告期财务会计信息</w:t>
      </w:r>
      <w:r>
        <w:rPr>
          <w:rFonts w:hint="eastAsia" w:ascii="宋体" w:hAnsi="宋体"/>
        </w:rPr>
        <w:t>无虚假记载</w:t>
      </w:r>
      <w:r>
        <w:rPr>
          <w:rFonts w:ascii="宋体" w:hAnsi="宋体"/>
        </w:rPr>
        <w:t>。</w:t>
      </w:r>
    </w:p>
    <w:p>
      <w:pPr>
        <w:pStyle w:val="3"/>
        <w:ind w:left="0" w:leftChars="0" w:firstLine="562" w:firstLineChars="200"/>
      </w:pPr>
      <w:bookmarkStart w:id="62" w:name="_Toc22708"/>
      <w:bookmarkStart w:id="63" w:name="_Toc28000_WPSOffice_Level2"/>
      <w:bookmarkStart w:id="64" w:name="_Toc31829"/>
      <w:bookmarkStart w:id="65" w:name="_Toc14999"/>
      <w:r>
        <w:rPr>
          <w:rFonts w:hint="eastAsia"/>
          <w:lang w:eastAsia="zh-CN"/>
        </w:rPr>
        <w:t>六</w:t>
      </w:r>
      <w:r>
        <w:rPr>
          <w:rFonts w:hint="eastAsia"/>
        </w:rPr>
        <w:t>、公司经营目标和计划</w:t>
      </w:r>
      <w:bookmarkEnd w:id="62"/>
      <w:bookmarkEnd w:id="63"/>
      <w:bookmarkEnd w:id="64"/>
      <w:bookmarkEnd w:id="65"/>
    </w:p>
    <w:p>
      <w:pPr>
        <w:bidi w:val="0"/>
        <w:ind w:firstLine="480" w:firstLineChars="200"/>
      </w:pPr>
      <w:bookmarkStart w:id="66" w:name="_Hlk31887440"/>
      <w:r>
        <w:rPr>
          <w:rFonts w:hint="eastAsia"/>
        </w:rPr>
        <w:t>（一）经营目标</w:t>
      </w:r>
    </w:p>
    <w:p>
      <w:pPr>
        <w:bidi w:val="0"/>
        <w:ind w:firstLine="480" w:firstLineChars="200"/>
        <w:rPr>
          <w:rFonts w:hint="eastAsia"/>
        </w:rPr>
      </w:pPr>
      <w:r>
        <w:rPr>
          <w:rFonts w:hint="eastAsia"/>
        </w:rPr>
        <w:t>公司坚持“绿色、科技、利国、惠民”的总体发展策略，重承“市场导向、聚焦用户、科技创新、服务三农、引领行业”的核心价值观，注重多元化和相关产业的拓展，在生产、经营过程中不断购置和采用先进的新设施，新技术、新工艺，不断学习，持续创新，势力强化员工的的新意识、质量意识和对客户服务意识，为终端用户提供先进的，高性价比的产品和满意的服务，继续效力于为推动中国农业现代化量身打造全程的三农服务解决方案，全力推动中国农业机械现代化发展进程是</w:t>
      </w:r>
      <w:r>
        <w:rPr>
          <w:rFonts w:hint="eastAsia"/>
          <w:lang w:val="en-US" w:eastAsia="zh-CN"/>
        </w:rPr>
        <w:t>公司</w:t>
      </w:r>
      <w:r>
        <w:rPr>
          <w:rFonts w:hint="eastAsia"/>
        </w:rPr>
        <w:t>应有的担当和不解的追求。</w:t>
      </w:r>
    </w:p>
    <w:p>
      <w:pPr>
        <w:bidi w:val="0"/>
        <w:ind w:firstLine="480" w:firstLineChars="200"/>
      </w:pPr>
      <w:r>
        <w:rPr>
          <w:rFonts w:hint="eastAsia"/>
        </w:rPr>
        <w:t>（二）具体发展业务计划</w:t>
      </w:r>
      <w:bookmarkStart w:id="67" w:name="_Toc342567520"/>
      <w:bookmarkStart w:id="68" w:name="_Toc346092744"/>
      <w:bookmarkStart w:id="69" w:name="_Toc317756608"/>
      <w:bookmarkStart w:id="70" w:name="_Toc346286158"/>
      <w:bookmarkStart w:id="71" w:name="_Toc347823210"/>
      <w:bookmarkStart w:id="72" w:name="_Toc347755025"/>
    </w:p>
    <w:p>
      <w:pPr>
        <w:bidi w:val="0"/>
        <w:ind w:firstLine="480" w:firstLineChars="200"/>
        <w:rPr>
          <w:rFonts w:hint="eastAsia"/>
        </w:rPr>
      </w:pPr>
      <w:r>
        <w:rPr>
          <w:rFonts w:hint="eastAsia"/>
        </w:rPr>
        <w:t>1、</w:t>
      </w:r>
      <w:r>
        <w:rPr>
          <w:rFonts w:hint="eastAsia"/>
          <w:lang w:val="en-US" w:eastAsia="zh-CN"/>
        </w:rPr>
        <w:t>开拓市场渠道，稳固客户资源</w:t>
      </w:r>
      <w:r>
        <w:rPr>
          <w:rFonts w:hint="eastAsia"/>
        </w:rPr>
        <w:t xml:space="preserve"> </w:t>
      </w:r>
    </w:p>
    <w:p>
      <w:pPr>
        <w:bidi w:val="0"/>
        <w:ind w:firstLine="480" w:firstLineChars="200"/>
      </w:pPr>
      <w:r>
        <w:rPr>
          <w:rFonts w:hint="eastAsia"/>
        </w:rPr>
        <w:t>市场和客户开发是实现公司发展目标的首要工作，主要从以下几个方面进行：一是市场渠道建设，优化国</w:t>
      </w:r>
      <w:r>
        <w:rPr>
          <w:rFonts w:hint="eastAsia"/>
          <w:lang w:val="en-US" w:eastAsia="zh-CN"/>
        </w:rPr>
        <w:t>内</w:t>
      </w:r>
      <w:r>
        <w:rPr>
          <w:rFonts w:hint="eastAsia"/>
        </w:rPr>
        <w:t>市场渠道建设，提高国</w:t>
      </w:r>
      <w:r>
        <w:rPr>
          <w:rFonts w:hint="eastAsia"/>
          <w:lang w:val="en-US" w:eastAsia="zh-CN"/>
        </w:rPr>
        <w:t>内</w:t>
      </w:r>
      <w:r>
        <w:rPr>
          <w:rFonts w:hint="eastAsia"/>
        </w:rPr>
        <w:t>市场占比，继续完善国</w:t>
      </w:r>
      <w:r>
        <w:rPr>
          <w:rFonts w:hint="eastAsia"/>
          <w:lang w:val="en-US" w:eastAsia="zh-CN"/>
        </w:rPr>
        <w:t>内</w:t>
      </w:r>
      <w:r>
        <w:rPr>
          <w:rFonts w:hint="eastAsia"/>
        </w:rPr>
        <w:t>市场渠道建设，分步骤完成</w:t>
      </w:r>
      <w:r>
        <w:rPr>
          <w:rFonts w:hint="eastAsia"/>
          <w:lang w:val="en-US" w:eastAsia="zh-CN"/>
        </w:rPr>
        <w:t>国内</w:t>
      </w:r>
      <w:r>
        <w:rPr>
          <w:rFonts w:hint="eastAsia"/>
        </w:rPr>
        <w:t>市场渠道建设；二是市场开发及服务团队建设；三是网络营销建设</w:t>
      </w:r>
      <w:r>
        <w:rPr>
          <w:rFonts w:hint="eastAsia"/>
          <w:lang w:eastAsia="zh-CN"/>
        </w:rPr>
        <w:t>，</w:t>
      </w:r>
      <w:r>
        <w:rPr>
          <w:rFonts w:hint="eastAsia"/>
          <w:lang w:val="en-US" w:eastAsia="zh-CN"/>
        </w:rPr>
        <w:t>后期</w:t>
      </w:r>
      <w:r>
        <w:rPr>
          <w:rFonts w:hint="eastAsia"/>
        </w:rPr>
        <w:t>将加强网络营销，通过“互联网+”和“大数据”思维模式，为公司</w:t>
      </w:r>
      <w:r>
        <w:rPr>
          <w:rFonts w:hint="eastAsia"/>
          <w:lang w:val="en-US" w:eastAsia="zh-CN"/>
        </w:rPr>
        <w:t>寻找潜在客户</w:t>
      </w:r>
      <w:r>
        <w:rPr>
          <w:rFonts w:hint="eastAsia"/>
        </w:rPr>
        <w:t>创造机会和平台</w:t>
      </w:r>
      <w:r>
        <w:t xml:space="preserve">。 </w:t>
      </w:r>
    </w:p>
    <w:p>
      <w:pPr>
        <w:bidi w:val="0"/>
        <w:ind w:firstLine="480" w:firstLineChars="200"/>
        <w:rPr>
          <w:rFonts w:hint="eastAsia"/>
          <w:lang w:val="en-US" w:eastAsia="zh-CN"/>
        </w:rPr>
      </w:pPr>
      <w:r>
        <w:rPr>
          <w:rFonts w:hint="eastAsia"/>
          <w:lang w:val="en-US" w:eastAsia="zh-CN"/>
        </w:rPr>
        <w:t>2、推进服务升级</w:t>
      </w:r>
    </w:p>
    <w:p>
      <w:pPr>
        <w:bidi w:val="0"/>
        <w:ind w:firstLine="480" w:firstLineChars="200"/>
        <w:rPr>
          <w:rFonts w:hint="eastAsia"/>
          <w:lang w:val="en-US" w:eastAsia="zh-CN"/>
        </w:rPr>
      </w:pPr>
      <w:r>
        <w:rPr>
          <w:rFonts w:hint="eastAsia"/>
          <w:lang w:val="en-US" w:eastAsia="zh-CN"/>
        </w:rPr>
        <w:t>公司目前的业务范围以山东地区为主，主要依靠业务人员进行线下开拓，线下服务。在未来，公司将进一步完善公司营销网络，正确认识市场竞争，发挥公司自身的优势，努力开拓市场，保持公司产品在市场上占有率只增不降。最后，建立客户数据库，针对客户定期进行回访和沟通，达到长期合作。</w:t>
      </w:r>
      <w:bookmarkStart w:id="73" w:name="_Toc2323"/>
    </w:p>
    <w:p>
      <w:pPr>
        <w:ind w:firstLine="480" w:firstLineChars="200"/>
      </w:pPr>
      <w:r>
        <w:rPr>
          <w:rFonts w:hint="eastAsia"/>
        </w:rPr>
        <w:t xml:space="preserve">3、产品与服务模式创新 </w:t>
      </w:r>
    </w:p>
    <w:p>
      <w:pPr>
        <w:ind w:firstLine="480" w:firstLineChars="200"/>
      </w:pPr>
      <w:r>
        <w:rPr>
          <w:rFonts w:hint="eastAsia"/>
        </w:rPr>
        <w:t xml:space="preserve">推进管理信息化咨询等管理工具的市场化、标准化，提高项目运作效率，效果；推进传统咨询的标准化、规范化、模块化、信息化；推进长期顾问等新业模式的开展。 </w:t>
      </w:r>
    </w:p>
    <w:p>
      <w:pPr>
        <w:bidi w:val="0"/>
        <w:ind w:firstLine="480" w:firstLineChars="200"/>
        <w:rPr>
          <w:rFonts w:hint="eastAsia"/>
          <w:lang w:val="en-US" w:eastAsia="zh-CN"/>
        </w:rPr>
      </w:pPr>
      <w:r>
        <w:rPr>
          <w:rFonts w:hint="eastAsia"/>
          <w:lang w:val="en-US" w:eastAsia="zh-CN"/>
        </w:rPr>
        <w:t>4、加强品牌建设</w:t>
      </w:r>
    </w:p>
    <w:p>
      <w:pPr>
        <w:bidi w:val="0"/>
        <w:ind w:firstLine="480" w:firstLineChars="200"/>
        <w:rPr>
          <w:rFonts w:hint="eastAsia"/>
          <w:lang w:val="en-US" w:eastAsia="zh-CN"/>
        </w:rPr>
      </w:pPr>
      <w:r>
        <w:rPr>
          <w:rFonts w:hint="eastAsia"/>
          <w:lang w:val="en-US" w:eastAsia="zh-CN"/>
        </w:rPr>
        <w:t>充分利用品牌的市场凝聚效应，进一步完善和改进品牌宣传战略，加大品牌宣传力度，不断提高公司产品在客户心中的认知度，树立良好的市场形象，扩大市场知名度。最终形成一批忠实于公司品牌的客户，加强其对于品牌的认可度。</w:t>
      </w:r>
    </w:p>
    <w:p>
      <w:pPr>
        <w:bidi w:val="0"/>
        <w:ind w:firstLine="240" w:firstLineChars="100"/>
        <w:rPr>
          <w:rFonts w:hint="eastAsia"/>
          <w:lang w:val="en-US" w:eastAsia="zh-CN"/>
        </w:rPr>
      </w:pPr>
      <w:r>
        <w:rPr>
          <w:rFonts w:hint="eastAsia"/>
          <w:lang w:val="en-US" w:eastAsia="zh-CN"/>
        </w:rPr>
        <w:t>（三）公司为实现未来发展目标将采取的措施</w:t>
      </w:r>
      <w:bookmarkEnd w:id="67"/>
      <w:bookmarkEnd w:id="68"/>
      <w:bookmarkEnd w:id="69"/>
      <w:bookmarkEnd w:id="70"/>
      <w:bookmarkEnd w:id="71"/>
      <w:bookmarkEnd w:id="72"/>
      <w:bookmarkEnd w:id="73"/>
    </w:p>
    <w:p>
      <w:pPr>
        <w:ind w:firstLine="480" w:firstLineChars="200"/>
      </w:pPr>
      <w:r>
        <w:rPr>
          <w:rFonts w:hint="eastAsia"/>
          <w:lang w:val="en-US" w:eastAsia="zh-CN"/>
        </w:rPr>
        <w:t>1</w:t>
      </w:r>
      <w:r>
        <w:rPr>
          <w:rFonts w:hint="eastAsia"/>
        </w:rPr>
        <w:t>、加强品牌建设 优化营销体系</w:t>
      </w:r>
    </w:p>
    <w:p>
      <w:pPr>
        <w:ind w:firstLine="480" w:firstLineChars="200"/>
        <w:rPr>
          <w:rFonts w:hint="eastAsia" w:eastAsia="宋体"/>
          <w:lang w:eastAsia="zh-CN"/>
        </w:rPr>
      </w:pPr>
      <w:r>
        <w:rPr>
          <w:rFonts w:hint="eastAsia"/>
        </w:rPr>
        <w:t>公司将根据市场需求，通过策划宣传等手段进一步提升公司形象，打造强势品牌，开发新客户，扩大市场覆盖面，提高产品市场份额，不断完善公司营销体系。进一步加强公司营销网络的建设，有效拓展市场，同时继续优化业务结构，提升市场竞争力，扩大经营规模，巩固产、销密切结合的经营体系</w:t>
      </w:r>
      <w:r>
        <w:rPr>
          <w:rFonts w:hint="eastAsia"/>
          <w:lang w:eastAsia="zh-CN"/>
        </w:rPr>
        <w:t>。</w:t>
      </w:r>
    </w:p>
    <w:p>
      <w:pPr>
        <w:ind w:firstLine="480" w:firstLineChars="200"/>
      </w:pPr>
      <w:r>
        <w:rPr>
          <w:rFonts w:hint="eastAsia"/>
          <w:lang w:val="en-US" w:eastAsia="zh-CN"/>
        </w:rPr>
        <w:t>2</w:t>
      </w:r>
      <w:r>
        <w:rPr>
          <w:rFonts w:hint="eastAsia"/>
        </w:rPr>
        <w:t>、加强创新能力，培养专业人才</w:t>
      </w:r>
    </w:p>
    <w:p>
      <w:pPr>
        <w:ind w:firstLine="480" w:firstLineChars="200"/>
      </w:pPr>
      <w:r>
        <w:rPr>
          <w:rFonts w:hint="eastAsia"/>
        </w:rPr>
        <w:t>公司将致力于</w:t>
      </w:r>
      <w:r>
        <w:rPr>
          <w:rFonts w:hint="eastAsia" w:ascii="宋体" w:hAnsi="宋体"/>
        </w:rPr>
        <w:t>为客户提供全流程的管理信息化咨询服务</w:t>
      </w:r>
      <w:r>
        <w:rPr>
          <w:rFonts w:hint="eastAsia"/>
        </w:rPr>
        <w:t>，采用新的经营管理模式，提高服务质量、提供新的服务，占据市场并实现市场价值；同时公司继续加大人才培养力度，提供专业素养、职业技能、实操转化等全方位培训，提高人才在咨询领域的工作能力，同时注重培养人才的创新创业能力，提升企业核心竞争力。</w:t>
      </w:r>
    </w:p>
    <w:p>
      <w:pPr>
        <w:ind w:firstLine="480" w:firstLineChars="200"/>
      </w:pPr>
      <w:r>
        <w:rPr>
          <w:rFonts w:hint="eastAsia"/>
        </w:rPr>
        <w:t>3、完善服务体系</w:t>
      </w:r>
    </w:p>
    <w:p>
      <w:pPr>
        <w:ind w:firstLine="480" w:firstLineChars="200"/>
      </w:pPr>
      <w:r>
        <w:rPr>
          <w:rFonts w:hint="eastAsia"/>
        </w:rPr>
        <w:t>服务体系，主要是指包含售前服务、售中服务、售后服务的全方位的服务体系。急客户所急，想客户所想，解决过程中的一切问题，加强服务意识，避免因工作疏忽而造成的客户流失。倡导零距离的服务理念，客户的满意是我们永远的奋斗目标，只有这样才能建立起一支稳定的客户群体。</w:t>
      </w:r>
    </w:p>
    <w:p>
      <w:pPr>
        <w:bidi w:val="0"/>
        <w:ind w:firstLine="480" w:firstLineChars="200"/>
        <w:rPr>
          <w:rFonts w:hint="eastAsia"/>
          <w:lang w:val="en-US" w:eastAsia="zh-CN"/>
        </w:rPr>
      </w:pPr>
      <w:r>
        <w:rPr>
          <w:rFonts w:hint="eastAsia"/>
          <w:lang w:val="en-US" w:eastAsia="zh-CN"/>
        </w:rPr>
        <w:t>4、加强融资</w:t>
      </w:r>
    </w:p>
    <w:bookmarkEnd w:id="66"/>
    <w:p>
      <w:pPr>
        <w:bidi w:val="0"/>
        <w:ind w:firstLine="480" w:firstLineChars="200"/>
        <w:rPr>
          <w:rFonts w:hint="eastAsia"/>
        </w:rPr>
      </w:pPr>
      <w:bookmarkStart w:id="74" w:name="_Toc12243_WPSOffice_Level2"/>
      <w:bookmarkStart w:id="75" w:name="_Toc8858"/>
      <w:bookmarkStart w:id="76" w:name="_Toc15672"/>
      <w:r>
        <w:rPr>
          <w:rFonts w:hint="eastAsia"/>
        </w:rPr>
        <w:t>公司将根据业务实际发展状况和资金需求，合理使用直接融资、间接融资手段，保持公司健康合理的资本结构，为实现公司持续、快速发展提供资金保障。公司将做好募集资金投资项目的建设工作，以规范的运作、科学的管理、优良的经营业绩、持续的增长、丰厚的回报，给投资者以持久的信心，以获取后期更大规模融资机会。</w:t>
      </w:r>
    </w:p>
    <w:bookmarkEnd w:id="74"/>
    <w:bookmarkEnd w:id="75"/>
    <w:bookmarkEnd w:id="76"/>
    <w:p>
      <w:pPr>
        <w:pStyle w:val="2"/>
        <w:rPr>
          <w:rFonts w:ascii="仿宋" w:hAnsi="仿宋" w:eastAsia="仿宋" w:cs="仿宋"/>
          <w:szCs w:val="32"/>
        </w:rPr>
      </w:pPr>
      <w:bookmarkStart w:id="77" w:name="_Toc28607"/>
      <w:r>
        <w:rPr>
          <w:rFonts w:hint="eastAsia"/>
        </w:rPr>
        <w:t>第三章 本次挂牌的有关机构</w:t>
      </w:r>
      <w:bookmarkEnd w:id="77"/>
    </w:p>
    <w:p>
      <w:pPr>
        <w:ind w:firstLine="480"/>
        <w:outlineLvl w:val="1"/>
        <w:rPr>
          <w:rFonts w:ascii="宋体" w:hAnsi="宋体"/>
          <w:b/>
          <w:bCs/>
          <w:sz w:val="28"/>
          <w:szCs w:val="28"/>
        </w:rPr>
      </w:pPr>
      <w:bookmarkStart w:id="78" w:name="_Toc28975"/>
      <w:r>
        <w:rPr>
          <w:rFonts w:hint="eastAsia" w:ascii="宋体" w:hAnsi="宋体"/>
          <w:b/>
          <w:bCs/>
          <w:sz w:val="28"/>
          <w:szCs w:val="28"/>
        </w:rPr>
        <w:t>一、推荐机构</w:t>
      </w:r>
      <w:bookmarkEnd w:id="78"/>
    </w:p>
    <w:p>
      <w:pPr>
        <w:ind w:firstLine="480"/>
        <w:jc w:val="left"/>
        <w:rPr>
          <w:rFonts w:ascii="宋体" w:hAnsi="宋体"/>
        </w:rPr>
      </w:pPr>
      <w:r>
        <w:rPr>
          <w:rFonts w:hint="eastAsia" w:ascii="宋体" w:hAnsi="宋体"/>
        </w:rPr>
        <w:t>名    称： 烟台瀚永投资有限公司</w:t>
      </w:r>
    </w:p>
    <w:p>
      <w:pPr>
        <w:ind w:firstLine="480"/>
        <w:jc w:val="left"/>
        <w:rPr>
          <w:rFonts w:ascii="宋体" w:hAnsi="宋体"/>
        </w:rPr>
      </w:pPr>
      <w:r>
        <w:rPr>
          <w:rFonts w:hint="eastAsia" w:ascii="宋体" w:hAnsi="宋体"/>
        </w:rPr>
        <w:t>办公地址： 烟台市福山区永达街1021号福山政务中心10层1007室</w:t>
      </w:r>
    </w:p>
    <w:p>
      <w:pPr>
        <w:ind w:firstLine="480"/>
        <w:jc w:val="left"/>
        <w:rPr>
          <w:rFonts w:ascii="宋体" w:hAnsi="宋体"/>
        </w:rPr>
      </w:pPr>
      <w:r>
        <w:rPr>
          <w:rFonts w:hint="eastAsia" w:ascii="宋体" w:hAnsi="宋体"/>
        </w:rPr>
        <w:t xml:space="preserve">法定代表人（负责人）：杨永斌 </w:t>
      </w:r>
    </w:p>
    <w:p>
      <w:pPr>
        <w:ind w:firstLine="480"/>
        <w:jc w:val="left"/>
        <w:rPr>
          <w:rFonts w:hint="default" w:ascii="宋体" w:hAnsi="宋体" w:eastAsia="宋体"/>
          <w:lang w:val="en-US" w:eastAsia="zh-CN"/>
        </w:rPr>
      </w:pPr>
      <w:r>
        <w:rPr>
          <w:rFonts w:hint="eastAsia" w:ascii="宋体" w:hAnsi="宋体"/>
        </w:rPr>
        <w:t>推荐经办人：</w:t>
      </w:r>
      <w:r>
        <w:rPr>
          <w:rFonts w:hint="eastAsia" w:ascii="宋体" w:hAnsi="宋体"/>
          <w:lang w:val="en-US" w:eastAsia="zh-CN"/>
        </w:rPr>
        <w:t>李姗姗、吴乃祥</w:t>
      </w:r>
    </w:p>
    <w:p>
      <w:pPr>
        <w:ind w:firstLine="480"/>
        <w:jc w:val="left"/>
        <w:rPr>
          <w:rFonts w:ascii="宋体" w:hAnsi="宋体"/>
        </w:rPr>
      </w:pPr>
      <w:r>
        <w:rPr>
          <w:rFonts w:hint="eastAsia" w:ascii="宋体" w:hAnsi="宋体"/>
        </w:rPr>
        <w:t>电    话：0535-6321200</w:t>
      </w:r>
    </w:p>
    <w:p>
      <w:pPr>
        <w:ind w:firstLine="480"/>
        <w:outlineLvl w:val="1"/>
        <w:rPr>
          <w:rFonts w:ascii="宋体" w:hAnsi="宋体"/>
          <w:b/>
          <w:bCs/>
          <w:sz w:val="28"/>
          <w:szCs w:val="28"/>
        </w:rPr>
      </w:pPr>
      <w:bookmarkStart w:id="79" w:name="_Toc13464"/>
      <w:r>
        <w:rPr>
          <w:rFonts w:hint="eastAsia" w:ascii="宋体" w:hAnsi="宋体"/>
          <w:b/>
          <w:bCs/>
          <w:sz w:val="28"/>
          <w:szCs w:val="28"/>
        </w:rPr>
        <w:t>二、审计机构</w:t>
      </w:r>
      <w:bookmarkEnd w:id="79"/>
    </w:p>
    <w:p>
      <w:pPr>
        <w:ind w:firstLine="480"/>
        <w:rPr>
          <w:rFonts w:ascii="宋体" w:hAnsi="宋体"/>
        </w:rPr>
      </w:pPr>
      <w:r>
        <w:rPr>
          <w:rFonts w:hint="eastAsia" w:ascii="宋体" w:hAnsi="宋体"/>
        </w:rPr>
        <w:t>名    称：潍坊信达有限责任会计师事务所</w:t>
      </w:r>
    </w:p>
    <w:p>
      <w:pPr>
        <w:ind w:firstLine="480"/>
        <w:rPr>
          <w:rFonts w:ascii="宋体" w:hAnsi="宋体"/>
        </w:rPr>
      </w:pPr>
      <w:r>
        <w:rPr>
          <w:rFonts w:hint="eastAsia" w:ascii="宋体" w:hAnsi="宋体"/>
        </w:rPr>
        <w:t>办公地址：山东省潍坊市奎文区丹桂里金街1号楼2单元1319室</w:t>
      </w:r>
    </w:p>
    <w:p>
      <w:pPr>
        <w:ind w:firstLine="480"/>
        <w:rPr>
          <w:rFonts w:ascii="宋体" w:hAnsi="宋体"/>
        </w:rPr>
      </w:pPr>
      <w:r>
        <w:rPr>
          <w:rFonts w:hint="eastAsia" w:ascii="宋体" w:hAnsi="宋体"/>
        </w:rPr>
        <w:t>负 责 人：任春云</w:t>
      </w:r>
    </w:p>
    <w:p>
      <w:pPr>
        <w:ind w:firstLine="480"/>
        <w:rPr>
          <w:rFonts w:ascii="宋体" w:hAnsi="宋体"/>
        </w:rPr>
      </w:pPr>
      <w:r>
        <w:rPr>
          <w:rFonts w:hint="eastAsia" w:ascii="宋体" w:hAnsi="宋体"/>
        </w:rPr>
        <w:t>经办注册会计师：王彦、王洪军</w:t>
      </w:r>
    </w:p>
    <w:p>
      <w:pPr>
        <w:ind w:firstLine="480"/>
        <w:rPr>
          <w:rFonts w:ascii="宋体" w:hAnsi="宋体"/>
        </w:rPr>
      </w:pPr>
      <w:r>
        <w:rPr>
          <w:rFonts w:hint="eastAsia" w:ascii="宋体" w:hAnsi="宋体"/>
        </w:rPr>
        <w:t>电    话：</w:t>
      </w:r>
      <w:r>
        <w:rPr>
          <w:rFonts w:ascii="宋体" w:hAnsi="宋体"/>
        </w:rPr>
        <w:t>0536-8297610</w:t>
      </w:r>
    </w:p>
    <w:p>
      <w:pPr>
        <w:ind w:firstLine="562" w:firstLineChars="200"/>
        <w:outlineLvl w:val="1"/>
        <w:rPr>
          <w:rFonts w:ascii="宋体" w:hAnsi="宋体"/>
          <w:sz w:val="28"/>
          <w:szCs w:val="28"/>
        </w:rPr>
      </w:pPr>
      <w:bookmarkStart w:id="80" w:name="_Toc21476"/>
      <w:r>
        <w:rPr>
          <w:rFonts w:hint="eastAsia" w:ascii="宋体" w:hAnsi="宋体"/>
          <w:b/>
          <w:bCs/>
          <w:sz w:val="28"/>
          <w:szCs w:val="28"/>
        </w:rPr>
        <w:t>三、股权登记托管机构</w:t>
      </w:r>
      <w:bookmarkEnd w:id="80"/>
    </w:p>
    <w:p>
      <w:pPr>
        <w:ind w:firstLine="480"/>
        <w:rPr>
          <w:rFonts w:ascii="宋体" w:hAnsi="宋体"/>
        </w:rPr>
      </w:pPr>
      <w:r>
        <w:rPr>
          <w:rFonts w:hint="eastAsia" w:ascii="宋体" w:hAnsi="宋体"/>
        </w:rPr>
        <w:t>名    称：齐鲁股权交易中心有限公司</w:t>
      </w:r>
    </w:p>
    <w:p>
      <w:pPr>
        <w:ind w:firstLine="480"/>
        <w:rPr>
          <w:rFonts w:ascii="宋体" w:hAnsi="宋体"/>
        </w:rPr>
      </w:pPr>
      <w:r>
        <w:rPr>
          <w:rFonts w:hint="eastAsia" w:ascii="宋体" w:hAnsi="宋体"/>
        </w:rPr>
        <w:t>注册地址：山东省淄博市张店区人民西路228号金融大厦3、4、20、21、22层</w:t>
      </w:r>
    </w:p>
    <w:p>
      <w:pPr>
        <w:ind w:firstLine="480"/>
        <w:rPr>
          <w:rFonts w:ascii="宋体" w:hAnsi="宋体"/>
        </w:rPr>
      </w:pPr>
      <w:r>
        <w:rPr>
          <w:rFonts w:hint="eastAsia" w:ascii="宋体" w:hAnsi="宋体"/>
        </w:rPr>
        <w:t>电    话：0533-277</w:t>
      </w:r>
      <w:r>
        <w:rPr>
          <w:rFonts w:ascii="宋体" w:hAnsi="宋体"/>
        </w:rPr>
        <w:t>8470</w:t>
      </w:r>
    </w:p>
    <w:p>
      <w:pPr>
        <w:ind w:firstLine="480"/>
        <w:rPr>
          <w:rFonts w:ascii="仿宋" w:hAnsi="仿宋" w:eastAsia="仿宋" w:cs="仿宋"/>
          <w:sz w:val="32"/>
          <w:szCs w:val="32"/>
        </w:rPr>
      </w:pPr>
      <w:r>
        <w:rPr>
          <w:rFonts w:hint="eastAsia" w:ascii="宋体" w:hAnsi="宋体"/>
        </w:rPr>
        <w:t>传    真：0533-277</w:t>
      </w:r>
      <w:r>
        <w:rPr>
          <w:rFonts w:ascii="宋体" w:hAnsi="宋体"/>
        </w:rPr>
        <w:t>8470</w:t>
      </w:r>
    </w:p>
    <w:p>
      <w:pPr>
        <w:rPr>
          <w:rFonts w:ascii="仿宋" w:hAnsi="仿宋" w:eastAsia="仿宋" w:cs="仿宋"/>
          <w:sz w:val="32"/>
          <w:szCs w:val="32"/>
        </w:rPr>
      </w:pPr>
    </w:p>
    <w:p>
      <w:pPr>
        <w:rPr>
          <w:rFonts w:ascii="仿宋" w:hAnsi="仿宋" w:eastAsia="仿宋" w:cs="仿宋"/>
          <w:sz w:val="32"/>
          <w:szCs w:val="32"/>
        </w:rPr>
      </w:pPr>
    </w:p>
    <w:sectPr>
      <w:headerReference r:id="rId5" w:type="default"/>
      <w:footerReference r:id="rId6"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posOffset>2508250</wp:posOffset>
              </wp:positionH>
              <wp:positionV relativeFrom="paragraph">
                <wp:posOffset>635</wp:posOffset>
              </wp:positionV>
              <wp:extent cx="488950" cy="1828800"/>
              <wp:effectExtent l="0" t="0" r="6350" b="14605"/>
              <wp:wrapNone/>
              <wp:docPr id="2" name="文本框 2"/>
              <wp:cNvGraphicFramePr/>
              <a:graphic xmlns:a="http://schemas.openxmlformats.org/drawingml/2006/main">
                <a:graphicData uri="http://schemas.microsoft.com/office/word/2010/wordprocessingShape">
                  <wps:wsp>
                    <wps:cNvSpPr txBox="1"/>
                    <wps:spPr>
                      <a:xfrm>
                        <a:off x="0" y="0"/>
                        <a:ext cx="48895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firstLine="360" w:firstLineChars="20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97.5pt;margin-top:0.05pt;height:144pt;width:38.5pt;mso-position-horizontal-relative:margin;z-index:251659264;mso-width-relative:page;mso-height-relative:page;" filled="f" stroked="f" coordsize="21600,21600" o:gfxdata="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gOaFfWAAAACAEAAA8AAAAAAAAAAQAgAAAAIgAAAGRycy9kb3ducmV2LnhtbFBL&#10;AQIUABQAAAAIAIdO4kDBOpYcMQIAAFYEAAAOAAAAAAAAAAEAIAAAACUBAABkcnMvZTJvRG9jLnht&#10;bFBLBQYAAAAABgAGAFkBAADIBQAAAAA=&#10;">
              <v:fill on="f" focussize="0,0"/>
              <v:stroke on="f" weight="0.5pt"/>
              <v:imagedata o:title=""/>
              <o:lock v:ext="edit" aspectratio="f"/>
              <v:textbox inset="0mm,0mm,0mm,0mm" style="mso-fit-shape-to-text:t;">
                <w:txbxContent>
                  <w:p>
                    <w:pPr>
                      <w:pStyle w:val="8"/>
                      <w:ind w:firstLine="360" w:firstLineChars="20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r>
      <w:rPr>
        <w:rFonts w:hint="eastAsia"/>
      </w:rPr>
      <w:t>烟台瀚永投资有限公司                                                      挂牌转让说明书摘要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0B"/>
    <w:rsid w:val="0003617F"/>
    <w:rsid w:val="000457D6"/>
    <w:rsid w:val="00050FE8"/>
    <w:rsid w:val="00055162"/>
    <w:rsid w:val="000669A9"/>
    <w:rsid w:val="00076722"/>
    <w:rsid w:val="00077EEA"/>
    <w:rsid w:val="000A3763"/>
    <w:rsid w:val="000C5CA2"/>
    <w:rsid w:val="000E5D50"/>
    <w:rsid w:val="000F6BEC"/>
    <w:rsid w:val="001141FE"/>
    <w:rsid w:val="001272BF"/>
    <w:rsid w:val="0017622D"/>
    <w:rsid w:val="001851D9"/>
    <w:rsid w:val="00186461"/>
    <w:rsid w:val="00187174"/>
    <w:rsid w:val="001A13CF"/>
    <w:rsid w:val="001A1A8F"/>
    <w:rsid w:val="001E0B5F"/>
    <w:rsid w:val="00270385"/>
    <w:rsid w:val="002720B0"/>
    <w:rsid w:val="00273CF1"/>
    <w:rsid w:val="00276759"/>
    <w:rsid w:val="00280BCE"/>
    <w:rsid w:val="002879A6"/>
    <w:rsid w:val="003070D4"/>
    <w:rsid w:val="00310354"/>
    <w:rsid w:val="00326182"/>
    <w:rsid w:val="00344E1A"/>
    <w:rsid w:val="00346960"/>
    <w:rsid w:val="00354DC9"/>
    <w:rsid w:val="00367382"/>
    <w:rsid w:val="00390064"/>
    <w:rsid w:val="003B30D7"/>
    <w:rsid w:val="003E77D6"/>
    <w:rsid w:val="0044118E"/>
    <w:rsid w:val="00446A47"/>
    <w:rsid w:val="00495114"/>
    <w:rsid w:val="004A1341"/>
    <w:rsid w:val="004C1CBF"/>
    <w:rsid w:val="004E4ADD"/>
    <w:rsid w:val="00502C24"/>
    <w:rsid w:val="0051639C"/>
    <w:rsid w:val="00527BFA"/>
    <w:rsid w:val="00532F3E"/>
    <w:rsid w:val="00564886"/>
    <w:rsid w:val="00575E7E"/>
    <w:rsid w:val="005A3BD9"/>
    <w:rsid w:val="005B4E9B"/>
    <w:rsid w:val="005C39AC"/>
    <w:rsid w:val="005E2651"/>
    <w:rsid w:val="00604CD3"/>
    <w:rsid w:val="00611CCD"/>
    <w:rsid w:val="00621C1E"/>
    <w:rsid w:val="00630E37"/>
    <w:rsid w:val="0063650B"/>
    <w:rsid w:val="00651908"/>
    <w:rsid w:val="00652E61"/>
    <w:rsid w:val="006919CB"/>
    <w:rsid w:val="006C7A75"/>
    <w:rsid w:val="006D10AA"/>
    <w:rsid w:val="006D4494"/>
    <w:rsid w:val="006F2A51"/>
    <w:rsid w:val="0071535B"/>
    <w:rsid w:val="0072035D"/>
    <w:rsid w:val="007E7F60"/>
    <w:rsid w:val="007F4589"/>
    <w:rsid w:val="00802380"/>
    <w:rsid w:val="00842F11"/>
    <w:rsid w:val="00857287"/>
    <w:rsid w:val="0086275D"/>
    <w:rsid w:val="00866DFE"/>
    <w:rsid w:val="008827D0"/>
    <w:rsid w:val="008B1D0C"/>
    <w:rsid w:val="008D0FF5"/>
    <w:rsid w:val="008D1648"/>
    <w:rsid w:val="008F5514"/>
    <w:rsid w:val="009454EF"/>
    <w:rsid w:val="00954BFB"/>
    <w:rsid w:val="009824E5"/>
    <w:rsid w:val="00984B8F"/>
    <w:rsid w:val="009A54AB"/>
    <w:rsid w:val="009D03AA"/>
    <w:rsid w:val="009E27DA"/>
    <w:rsid w:val="00A03E08"/>
    <w:rsid w:val="00A10900"/>
    <w:rsid w:val="00A126B9"/>
    <w:rsid w:val="00A351E0"/>
    <w:rsid w:val="00A37082"/>
    <w:rsid w:val="00A4371C"/>
    <w:rsid w:val="00AD15F8"/>
    <w:rsid w:val="00B00450"/>
    <w:rsid w:val="00B043A0"/>
    <w:rsid w:val="00B17078"/>
    <w:rsid w:val="00B456C3"/>
    <w:rsid w:val="00B5088D"/>
    <w:rsid w:val="00B5412A"/>
    <w:rsid w:val="00B90B34"/>
    <w:rsid w:val="00BA767C"/>
    <w:rsid w:val="00C058F4"/>
    <w:rsid w:val="00C1390F"/>
    <w:rsid w:val="00C840AA"/>
    <w:rsid w:val="00CE51A7"/>
    <w:rsid w:val="00CF2560"/>
    <w:rsid w:val="00CF55ED"/>
    <w:rsid w:val="00CF5FD4"/>
    <w:rsid w:val="00D1155A"/>
    <w:rsid w:val="00D1230C"/>
    <w:rsid w:val="00D24DE9"/>
    <w:rsid w:val="00D40756"/>
    <w:rsid w:val="00D43AA2"/>
    <w:rsid w:val="00D507B3"/>
    <w:rsid w:val="00D54D43"/>
    <w:rsid w:val="00D7536C"/>
    <w:rsid w:val="00D77C16"/>
    <w:rsid w:val="00DC7EB9"/>
    <w:rsid w:val="00E101A1"/>
    <w:rsid w:val="00E12641"/>
    <w:rsid w:val="00E126BD"/>
    <w:rsid w:val="00E54E20"/>
    <w:rsid w:val="00E9510B"/>
    <w:rsid w:val="00EA7AB7"/>
    <w:rsid w:val="00EC5CB1"/>
    <w:rsid w:val="00ED085B"/>
    <w:rsid w:val="00F07907"/>
    <w:rsid w:val="00F11DBC"/>
    <w:rsid w:val="00F13BE6"/>
    <w:rsid w:val="00F54ADE"/>
    <w:rsid w:val="015D5EBB"/>
    <w:rsid w:val="04C0030D"/>
    <w:rsid w:val="0DC55A5C"/>
    <w:rsid w:val="0E1D4990"/>
    <w:rsid w:val="0F406E33"/>
    <w:rsid w:val="0F876D89"/>
    <w:rsid w:val="166F2B62"/>
    <w:rsid w:val="18235569"/>
    <w:rsid w:val="1A523845"/>
    <w:rsid w:val="1AA86489"/>
    <w:rsid w:val="1B3364E6"/>
    <w:rsid w:val="1CE7621D"/>
    <w:rsid w:val="1D665113"/>
    <w:rsid w:val="20B704B1"/>
    <w:rsid w:val="27614DC9"/>
    <w:rsid w:val="27AD31A8"/>
    <w:rsid w:val="28D131CE"/>
    <w:rsid w:val="2B3445D0"/>
    <w:rsid w:val="2BBD5B45"/>
    <w:rsid w:val="2C0D4202"/>
    <w:rsid w:val="2E0A5F02"/>
    <w:rsid w:val="2FB46FA0"/>
    <w:rsid w:val="316C2956"/>
    <w:rsid w:val="328C0635"/>
    <w:rsid w:val="35D56E7B"/>
    <w:rsid w:val="3CBB0284"/>
    <w:rsid w:val="3EB92A8A"/>
    <w:rsid w:val="3ED920FF"/>
    <w:rsid w:val="45352B7B"/>
    <w:rsid w:val="460F7809"/>
    <w:rsid w:val="4644478D"/>
    <w:rsid w:val="469022A7"/>
    <w:rsid w:val="47C12665"/>
    <w:rsid w:val="5026788C"/>
    <w:rsid w:val="53B20807"/>
    <w:rsid w:val="55A94E7F"/>
    <w:rsid w:val="55FA2B4B"/>
    <w:rsid w:val="59D913CD"/>
    <w:rsid w:val="5DD974DC"/>
    <w:rsid w:val="62404EAE"/>
    <w:rsid w:val="659642BC"/>
    <w:rsid w:val="66F107D6"/>
    <w:rsid w:val="6FC51A0C"/>
    <w:rsid w:val="75034F8D"/>
    <w:rsid w:val="77531126"/>
    <w:rsid w:val="7CB57BC0"/>
    <w:rsid w:val="7CEA5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b/>
      <w:kern w:val="44"/>
      <w:sz w:val="32"/>
    </w:rPr>
  </w:style>
  <w:style w:type="paragraph" w:styleId="3">
    <w:name w:val="heading 2"/>
    <w:basedOn w:val="1"/>
    <w:next w:val="1"/>
    <w:qFormat/>
    <w:uiPriority w:val="0"/>
    <w:pPr>
      <w:keepNext/>
      <w:keepLines/>
      <w:spacing w:before="20" w:after="20" w:line="413" w:lineRule="auto"/>
      <w:ind w:left="200" w:leftChars="200"/>
      <w:outlineLvl w:val="1"/>
    </w:pPr>
    <w:rPr>
      <w:rFonts w:ascii="Arial" w:hAnsi="Arial"/>
      <w:b/>
      <w:sz w:val="28"/>
    </w:rPr>
  </w:style>
  <w:style w:type="paragraph" w:styleId="4">
    <w:name w:val="heading 3"/>
    <w:basedOn w:val="1"/>
    <w:next w:val="1"/>
    <w:link w:val="22"/>
    <w:semiHidden/>
    <w:unhideWhenUsed/>
    <w:qFormat/>
    <w:uiPriority w:val="0"/>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8"/>
    <w:qFormat/>
    <w:uiPriority w:val="0"/>
    <w:pPr>
      <w:jc w:val="left"/>
    </w:pPr>
  </w:style>
  <w:style w:type="paragraph" w:styleId="6">
    <w:name w:val="Body Text Indent"/>
    <w:basedOn w:val="1"/>
    <w:unhideWhenUsed/>
    <w:qFormat/>
    <w:uiPriority w:val="99"/>
    <w:pPr>
      <w:spacing w:after="120"/>
      <w:ind w:left="420" w:leftChars="200"/>
    </w:pPr>
  </w:style>
  <w:style w:type="paragraph" w:styleId="7">
    <w:name w:val="Balloon Text"/>
    <w:basedOn w:val="1"/>
    <w:link w:val="19"/>
    <w:qFormat/>
    <w:uiPriority w:val="0"/>
    <w:pPr>
      <w:spacing w:line="240" w:lineRule="auto"/>
    </w:pPr>
    <w:rPr>
      <w:sz w:val="18"/>
      <w:szCs w:val="18"/>
    </w:rPr>
  </w:style>
  <w:style w:type="paragraph" w:styleId="8">
    <w:name w:val="footer"/>
    <w:basedOn w:val="1"/>
    <w:link w:val="24"/>
    <w:qFormat/>
    <w:uiPriority w:val="0"/>
    <w:pPr>
      <w:tabs>
        <w:tab w:val="center" w:pos="4153"/>
        <w:tab w:val="right" w:pos="8306"/>
      </w:tabs>
      <w:snapToGrid w:val="0"/>
      <w:spacing w:line="240" w:lineRule="auto"/>
      <w:jc w:val="left"/>
    </w:pPr>
    <w:rPr>
      <w:sz w:val="18"/>
      <w:szCs w:val="18"/>
    </w:rPr>
  </w:style>
  <w:style w:type="paragraph" w:styleId="9">
    <w:name w:val="header"/>
    <w:basedOn w:val="1"/>
    <w:link w:val="23"/>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0">
    <w:name w:val="toc 1"/>
    <w:basedOn w:val="1"/>
    <w:next w:val="1"/>
    <w:qFormat/>
    <w:uiPriority w:val="39"/>
  </w:style>
  <w:style w:type="paragraph" w:styleId="11">
    <w:name w:val="toc 2"/>
    <w:basedOn w:val="1"/>
    <w:next w:val="1"/>
    <w:qFormat/>
    <w:uiPriority w:val="39"/>
    <w:pPr>
      <w:ind w:left="420" w:leftChars="200"/>
    </w:pPr>
  </w:style>
  <w:style w:type="paragraph" w:styleId="12">
    <w:name w:val="annotation subject"/>
    <w:basedOn w:val="5"/>
    <w:next w:val="5"/>
    <w:link w:val="29"/>
    <w:qFormat/>
    <w:uiPriority w:val="0"/>
    <w:rPr>
      <w:b/>
      <w:bCs/>
    </w:rPr>
  </w:style>
  <w:style w:type="character" w:styleId="15">
    <w:name w:val="Hyperlink"/>
    <w:qFormat/>
    <w:uiPriority w:val="99"/>
    <w:rPr>
      <w:color w:val="0000FF"/>
      <w:u w:val="single"/>
    </w:rPr>
  </w:style>
  <w:style w:type="character" w:styleId="16">
    <w:name w:val="annotation reference"/>
    <w:basedOn w:val="14"/>
    <w:qFormat/>
    <w:uiPriority w:val="0"/>
    <w:rPr>
      <w:sz w:val="21"/>
      <w:szCs w:val="21"/>
    </w:rPr>
  </w:style>
  <w:style w:type="paragraph" w:customStyle="1" w:styleId="17">
    <w:name w:val="WPSOffice手动目录 1"/>
    <w:qFormat/>
    <w:uiPriority w:val="0"/>
    <w:rPr>
      <w:rFonts w:ascii="Times New Roman" w:hAnsi="Times New Roman" w:eastAsia="宋体" w:cs="Times New Roman"/>
      <w:lang w:val="en-US" w:eastAsia="zh-CN" w:bidi="ar-SA"/>
    </w:rPr>
  </w:style>
  <w:style w:type="paragraph" w:customStyle="1" w:styleId="18">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9">
    <w:name w:val="批注框文本 字符"/>
    <w:link w:val="7"/>
    <w:qFormat/>
    <w:uiPriority w:val="0"/>
    <w:rPr>
      <w:kern w:val="2"/>
      <w:sz w:val="18"/>
      <w:szCs w:val="18"/>
    </w:rPr>
  </w:style>
  <w:style w:type="paragraph" w:customStyle="1" w:styleId="20">
    <w:name w:val="修订1"/>
    <w:hidden/>
    <w:unhideWhenUsed/>
    <w:qFormat/>
    <w:uiPriority w:val="99"/>
    <w:rPr>
      <w:rFonts w:ascii="Times New Roman" w:hAnsi="Times New Roman" w:eastAsia="宋体" w:cs="Times New Roman"/>
      <w:kern w:val="2"/>
      <w:sz w:val="24"/>
      <w:szCs w:val="24"/>
      <w:lang w:val="en-US" w:eastAsia="zh-CN" w:bidi="ar-SA"/>
    </w:rPr>
  </w:style>
  <w:style w:type="paragraph" w:styleId="21">
    <w:name w:val="List Paragraph"/>
    <w:basedOn w:val="1"/>
    <w:qFormat/>
    <w:uiPriority w:val="99"/>
    <w:pPr>
      <w:ind w:firstLine="420" w:firstLineChars="200"/>
    </w:pPr>
  </w:style>
  <w:style w:type="character" w:customStyle="1" w:styleId="22">
    <w:name w:val="标题 3 字符"/>
    <w:link w:val="4"/>
    <w:qFormat/>
    <w:uiPriority w:val="0"/>
    <w:rPr>
      <w:b/>
      <w:bCs/>
      <w:kern w:val="2"/>
      <w:sz w:val="32"/>
      <w:szCs w:val="32"/>
    </w:rPr>
  </w:style>
  <w:style w:type="character" w:customStyle="1" w:styleId="23">
    <w:name w:val="页眉 字符"/>
    <w:link w:val="9"/>
    <w:qFormat/>
    <w:uiPriority w:val="0"/>
    <w:rPr>
      <w:kern w:val="2"/>
      <w:sz w:val="18"/>
      <w:szCs w:val="18"/>
    </w:rPr>
  </w:style>
  <w:style w:type="character" w:customStyle="1" w:styleId="24">
    <w:name w:val="页脚 字符"/>
    <w:link w:val="8"/>
    <w:qFormat/>
    <w:uiPriority w:val="0"/>
    <w:rPr>
      <w:kern w:val="2"/>
      <w:sz w:val="18"/>
      <w:szCs w:val="18"/>
    </w:rPr>
  </w:style>
  <w:style w:type="character" w:customStyle="1" w:styleId="25">
    <w:name w:val="font11"/>
    <w:basedOn w:val="14"/>
    <w:qFormat/>
    <w:uiPriority w:val="0"/>
    <w:rPr>
      <w:rFonts w:hint="eastAsia" w:ascii="宋体" w:hAnsi="宋体" w:eastAsia="宋体" w:cs="宋体"/>
      <w:color w:val="000000"/>
      <w:sz w:val="18"/>
      <w:szCs w:val="18"/>
      <w:u w:val="none"/>
    </w:rPr>
  </w:style>
  <w:style w:type="character" w:customStyle="1" w:styleId="26">
    <w:name w:val="font41"/>
    <w:basedOn w:val="14"/>
    <w:qFormat/>
    <w:uiPriority w:val="0"/>
    <w:rPr>
      <w:rFonts w:hint="eastAsia" w:ascii="宋体" w:hAnsi="宋体" w:eastAsia="宋体" w:cs="宋体"/>
      <w:b/>
      <w:color w:val="000000"/>
      <w:sz w:val="18"/>
      <w:szCs w:val="18"/>
      <w:u w:val="none"/>
    </w:rPr>
  </w:style>
  <w:style w:type="character" w:customStyle="1" w:styleId="27">
    <w:name w:val="font21"/>
    <w:basedOn w:val="14"/>
    <w:qFormat/>
    <w:uiPriority w:val="0"/>
    <w:rPr>
      <w:rFonts w:hint="eastAsia" w:ascii="宋体" w:hAnsi="宋体" w:eastAsia="宋体" w:cs="宋体"/>
      <w:color w:val="000000"/>
      <w:sz w:val="18"/>
      <w:szCs w:val="18"/>
      <w:u w:val="none"/>
    </w:rPr>
  </w:style>
  <w:style w:type="character" w:customStyle="1" w:styleId="28">
    <w:name w:val="批注文字 字符"/>
    <w:basedOn w:val="14"/>
    <w:link w:val="5"/>
    <w:qFormat/>
    <w:uiPriority w:val="0"/>
    <w:rPr>
      <w:rFonts w:ascii="Times New Roman" w:hAnsi="Times New Roman" w:eastAsia="宋体" w:cs="Times New Roman"/>
      <w:kern w:val="2"/>
      <w:sz w:val="24"/>
      <w:szCs w:val="24"/>
    </w:rPr>
  </w:style>
  <w:style w:type="character" w:customStyle="1" w:styleId="29">
    <w:name w:val="批注主题 字符"/>
    <w:basedOn w:val="28"/>
    <w:link w:val="12"/>
    <w:qFormat/>
    <w:uiPriority w:val="0"/>
    <w:rPr>
      <w:rFonts w:ascii="Times New Roman" w:hAnsi="Times New Roman" w:eastAsia="宋体" w:cs="Times New Roman"/>
      <w:b/>
      <w:bCs/>
      <w:kern w:val="2"/>
      <w:sz w:val="24"/>
      <w:szCs w:val="24"/>
    </w:rPr>
  </w:style>
  <w:style w:type="paragraph" w:customStyle="1" w:styleId="30">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jpe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山东华拖农业装备有限公司股权架构图</c:v>
                </c:pt>
              </c:strCache>
            </c:strRef>
          </c:tx>
          <c:spPr>
            <a:ln w="19050">
              <a:solidFill>
                <a:schemeClr val="accent1"/>
              </a:solidFill>
            </a:ln>
          </c:spPr>
          <c:explosion val="0"/>
          <c:dPt>
            <c:idx val="0"/>
            <c:bubble3D val="0"/>
            <c:explosion val="0"/>
            <c:spPr>
              <a:solidFill>
                <a:schemeClr val="accent1"/>
              </a:solidFill>
              <a:ln w="19050">
                <a:solidFill>
                  <a:schemeClr val="accent1"/>
                </a:solidFill>
              </a:ln>
              <a:effectLst/>
            </c:spPr>
          </c:dPt>
          <c:dLbls>
            <c:delete val="1"/>
          </c:dLbls>
          <c:cat>
            <c:strRef>
              <c:f>Sheet1!$A$2</c:f>
              <c:strCache>
                <c:ptCount val="1"/>
                <c:pt idx="0">
                  <c:v>潍坊雷泰机械有限公司</c:v>
                </c:pt>
              </c:strCache>
            </c:strRef>
          </c:cat>
          <c:val>
            <c:numRef>
              <c:f>Sheet1!$B$2</c:f>
              <c:numCache>
                <c:formatCode>0%</c:formatCode>
                <c:ptCount val="1"/>
                <c:pt idx="0">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327947656562959"/>
          <c:y val="0.860512820512821"/>
          <c:w val="0.350647616504206"/>
          <c:h val="0.1202564102564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1681</Words>
  <Characters>9582</Characters>
  <Lines>79</Lines>
  <Paragraphs>22</Paragraphs>
  <TotalTime>0</TotalTime>
  <ScaleCrop>false</ScaleCrop>
  <LinksUpToDate>false</LinksUpToDate>
  <CharactersWithSpaces>11241</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2019-12-08T06:58:00Z</dcterms:created>
  <dc:creator>lenovo</dc:creator>
  <cp:lastModifiedBy>Administrator</cp:lastModifiedBy>
  <dcterms:modified xsi:type="dcterms:W3CDTF">2021-06-25T13:24:07Z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D298BF23353D4C08A499096D2D0D7E80</vt:lpwstr>
  </property>
</Properties>
</file>