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6" w:firstLineChars="330"/>
        <w:rPr>
          <w:rFonts w:hint="eastAsia" w:ascii="仿宋" w:hAnsi="仿宋" w:eastAsia="仿宋" w:cs="仿宋"/>
          <w:color w:val="auto"/>
          <w:sz w:val="32"/>
          <w:szCs w:val="32"/>
          <w:highlight w:val="none"/>
        </w:rPr>
      </w:pPr>
    </w:p>
    <w:p>
      <w:pPr>
        <w:ind w:left="0" w:leftChars="0" w:firstLine="0" w:firstLineChars="0"/>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龙口市龙金花植物油有限公司</w:t>
      </w:r>
    </w:p>
    <w:p>
      <w:pPr>
        <w:ind w:left="0" w:leftChars="0" w:firstLine="0" w:firstLineChars="0"/>
        <w:jc w:val="center"/>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挂牌转让说明书</w:t>
      </w:r>
      <w:r>
        <w:rPr>
          <w:rFonts w:hint="eastAsia" w:ascii="黑体" w:hAnsi="黑体" w:eastAsia="黑体" w:cs="黑体"/>
          <w:color w:val="auto"/>
          <w:sz w:val="32"/>
          <w:szCs w:val="32"/>
          <w:highlight w:val="none"/>
          <w:lang w:val="en-US" w:eastAsia="zh-CN"/>
        </w:rPr>
        <w:t>摘要</w:t>
      </w:r>
    </w:p>
    <w:p>
      <w:pPr>
        <w:ind w:left="0" w:leftChars="0" w:firstLine="0" w:firstLineChars="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（申请板块：</w:t>
      </w:r>
      <w:r>
        <w:rPr>
          <w:rFonts w:hint="eastAsia" w:ascii="仿宋" w:hAnsi="仿宋" w:eastAsia="仿宋" w:cs="仿宋"/>
          <w:color w:val="auto"/>
          <w:sz w:val="32"/>
          <w:szCs w:val="32"/>
          <w:highlight w:val="none"/>
          <w:lang w:val="en-US" w:eastAsia="zh-CN"/>
        </w:rPr>
        <w:t>成长板——科技</w:t>
      </w:r>
      <w:r>
        <w:rPr>
          <w:rFonts w:hint="eastAsia" w:ascii="仿宋" w:hAnsi="仿宋" w:eastAsia="仿宋" w:cs="仿宋"/>
          <w:color w:val="auto"/>
          <w:sz w:val="32"/>
          <w:szCs w:val="32"/>
          <w:highlight w:val="none"/>
        </w:rPr>
        <w:t>板）</w:t>
      </w:r>
    </w:p>
    <w:p>
      <w:pPr>
        <w:ind w:firstLine="640" w:firstLineChars="200"/>
        <w:jc w:val="center"/>
        <w:rPr>
          <w:rFonts w:ascii="仿宋" w:hAnsi="仿宋" w:eastAsia="仿宋" w:cs="仿宋"/>
          <w:color w:val="auto"/>
          <w:sz w:val="32"/>
          <w:szCs w:val="32"/>
          <w:highlight w:val="none"/>
        </w:rPr>
      </w:pPr>
    </w:p>
    <w:p>
      <w:pPr>
        <w:ind w:left="0" w:leftChars="0" w:firstLine="0" w:firstLineChars="0"/>
        <w:jc w:val="both"/>
        <w:rPr>
          <w:rFonts w:hint="eastAsia" w:ascii="仿宋" w:hAnsi="仿宋" w:eastAsia="仿宋" w:cs="仿宋"/>
          <w:b/>
          <w:bCs/>
          <w:color w:val="auto"/>
          <w:sz w:val="32"/>
          <w:szCs w:val="32"/>
          <w:highlight w:val="none"/>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ind w:left="0" w:leftChars="0" w:firstLine="0" w:firstLineChars="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声 明</w:t>
      </w:r>
    </w:p>
    <w:p>
      <w:pPr>
        <w:jc w:val="center"/>
        <w:rPr>
          <w:rFonts w:hint="eastAsia" w:ascii="仿宋" w:hAnsi="仿宋" w:eastAsia="仿宋" w:cs="仿宋"/>
          <w:color w:val="auto"/>
          <w:sz w:val="32"/>
          <w:szCs w:val="32"/>
          <w:highlight w:val="none"/>
        </w:rPr>
      </w:pP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本公司及全体董事、监事、高级管理人员承诺挂牌说明书不存在虚假记载、误导性陈述或重大遗漏，并对其真实性、准确性、完整性承担个别和连带的法律责任。</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本公司提醒投资者注意，凡本挂牌转让说明书未涉及的有关内容，请投资者直接或通过齐鲁股权交易中心有限公司向本公司查询。</w:t>
      </w:r>
    </w:p>
    <w:p>
      <w:pPr>
        <w:ind w:firstLine="560" w:firstLineChars="200"/>
        <w:rPr>
          <w:rFonts w:hint="eastAsia" w:ascii="仿宋" w:hAnsi="仿宋" w:eastAsia="仿宋" w:cs="仿宋"/>
          <w:color w:val="auto"/>
          <w:sz w:val="32"/>
          <w:szCs w:val="32"/>
          <w:highlight w:val="none"/>
        </w:rPr>
      </w:pPr>
      <w:r>
        <w:rPr>
          <w:rFonts w:hint="eastAsia" w:ascii="仿宋" w:hAnsi="仿宋" w:eastAsia="仿宋" w:cs="仿宋"/>
          <w:color w:val="auto"/>
          <w:sz w:val="28"/>
          <w:szCs w:val="28"/>
          <w:highlight w:val="none"/>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hint="eastAsia" w:ascii="仿宋" w:hAnsi="仿宋" w:eastAsia="仿宋" w:cs="仿宋"/>
          <w:b/>
          <w:bCs/>
          <w:color w:val="auto"/>
          <w:sz w:val="32"/>
          <w:szCs w:val="32"/>
          <w:highlight w:val="none"/>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pPr>
    </w:p>
    <w:p>
      <w:pPr>
        <w:ind w:left="0" w:leftChars="0" w:firstLine="0" w:firstLineChars="0"/>
        <w:jc w:val="center"/>
        <w:rPr>
          <w:rFonts w:hint="eastAsia" w:ascii="仿宋" w:hAnsi="仿宋" w:eastAsia="仿宋" w:cs="仿宋"/>
          <w:b/>
          <w:bCs/>
          <w:color w:val="auto"/>
          <w:sz w:val="32"/>
          <w:szCs w:val="32"/>
          <w:highlight w:val="none"/>
        </w:rPr>
        <w:sectPr>
          <w:headerReference r:id="rId4" w:type="default"/>
          <w:footerReference r:id="rId5" w:type="default"/>
          <w:type w:val="continuous"/>
          <w:pgSz w:w="11906" w:h="16838"/>
          <w:pgMar w:top="1440" w:right="1797" w:bottom="1440" w:left="1797" w:header="851" w:footer="992" w:gutter="0"/>
          <w:pgBorders w:offsetFrom="page">
            <w:top w:val="none" w:sz="0" w:space="0"/>
            <w:left w:val="none" w:sz="0" w:space="0"/>
            <w:bottom w:val="none" w:sz="0" w:space="0"/>
            <w:right w:val="none" w:sz="0" w:space="0"/>
          </w:pgBorders>
          <w:cols w:space="720" w:num="1"/>
          <w:docGrid w:type="lines" w:linePitch="312" w:charSpace="0"/>
        </w:sectPr>
      </w:pPr>
    </w:p>
    <w:p>
      <w:pPr>
        <w:ind w:left="0" w:leftChars="0" w:firstLine="0" w:firstLineChars="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rPr>
        <w:t>录</w:t>
      </w:r>
    </w:p>
    <w:sdt>
      <w:sdtPr>
        <w:rPr>
          <w:rFonts w:ascii="宋体" w:hAnsi="宋体" w:eastAsia="宋体" w:cs="Times New Roman"/>
          <w:kern w:val="2"/>
          <w:sz w:val="21"/>
          <w:szCs w:val="24"/>
          <w:lang w:val="en-US" w:eastAsia="zh-CN" w:bidi="ar-SA"/>
        </w:rPr>
        <w:id w:val="147463646"/>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sz w:val="24"/>
              <w:szCs w:val="24"/>
            </w:rPr>
          </w:pPr>
        </w:p>
        <w:p>
          <w:pPr>
            <w:pStyle w:val="13"/>
            <w:tabs>
              <w:tab w:val="right" w:leader="dot" w:pos="8312"/>
            </w:tabs>
          </w:pPr>
          <w:r>
            <w:rPr>
              <w:sz w:val="24"/>
              <w:szCs w:val="24"/>
            </w:rPr>
            <w:fldChar w:fldCharType="begin"/>
          </w:r>
          <w:r>
            <w:rPr>
              <w:sz w:val="24"/>
              <w:szCs w:val="24"/>
            </w:rPr>
            <w:instrText xml:space="preserve">TOC \o "1-2" \h \u </w:instrText>
          </w:r>
          <w:r>
            <w:rPr>
              <w:sz w:val="24"/>
              <w:szCs w:val="24"/>
            </w:rPr>
            <w:fldChar w:fldCharType="separate"/>
          </w:r>
          <w:r>
            <w:rPr>
              <w:b/>
              <w:bCs/>
              <w:szCs w:val="24"/>
            </w:rPr>
            <w:fldChar w:fldCharType="begin"/>
          </w:r>
          <w:r>
            <w:rPr>
              <w:b/>
              <w:bCs/>
              <w:szCs w:val="24"/>
            </w:rPr>
            <w:instrText xml:space="preserve"> HYPERLINK \l _Toc16793 </w:instrText>
          </w:r>
          <w:r>
            <w:rPr>
              <w:b/>
              <w:bCs/>
              <w:szCs w:val="24"/>
            </w:rPr>
            <w:fldChar w:fldCharType="separate"/>
          </w:r>
          <w:r>
            <w:rPr>
              <w:rFonts w:hint="eastAsia"/>
              <w:b/>
              <w:bCs/>
            </w:rPr>
            <w:t>第一章  重大风险及重大事项提示</w:t>
          </w:r>
          <w:r>
            <w:rPr>
              <w:b/>
              <w:bCs/>
            </w:rPr>
            <w:tab/>
          </w:r>
          <w:r>
            <w:rPr>
              <w:b/>
              <w:bCs/>
            </w:rPr>
            <w:fldChar w:fldCharType="begin"/>
          </w:r>
          <w:r>
            <w:rPr>
              <w:b/>
              <w:bCs/>
            </w:rPr>
            <w:instrText xml:space="preserve"> PAGEREF _Toc16793 </w:instrText>
          </w:r>
          <w:r>
            <w:rPr>
              <w:b/>
              <w:bCs/>
            </w:rPr>
            <w:fldChar w:fldCharType="separate"/>
          </w:r>
          <w:r>
            <w:rPr>
              <w:b/>
              <w:bCs/>
            </w:rPr>
            <w:t>1</w:t>
          </w:r>
          <w:r>
            <w:rPr>
              <w:b/>
              <w:bCs/>
            </w:rPr>
            <w:fldChar w:fldCharType="end"/>
          </w:r>
          <w:r>
            <w:rPr>
              <w:b/>
              <w:bCs/>
              <w:szCs w:val="24"/>
            </w:rPr>
            <w:fldChar w:fldCharType="end"/>
          </w:r>
        </w:p>
        <w:p>
          <w:pPr>
            <w:pStyle w:val="14"/>
            <w:tabs>
              <w:tab w:val="right" w:leader="dot" w:pos="8312"/>
            </w:tabs>
          </w:pPr>
          <w:r>
            <w:rPr>
              <w:szCs w:val="24"/>
            </w:rPr>
            <w:fldChar w:fldCharType="begin"/>
          </w:r>
          <w:r>
            <w:rPr>
              <w:szCs w:val="24"/>
            </w:rPr>
            <w:instrText xml:space="preserve"> HYPERLINK \l _Toc30943 </w:instrText>
          </w:r>
          <w:r>
            <w:rPr>
              <w:szCs w:val="24"/>
            </w:rPr>
            <w:fldChar w:fldCharType="separate"/>
          </w:r>
          <w:r>
            <w:rPr>
              <w:rFonts w:hint="eastAsia"/>
              <w:highlight w:val="none"/>
            </w:rPr>
            <w:t>一、重大风险提示及应对措施</w:t>
          </w:r>
          <w:r>
            <w:tab/>
          </w:r>
          <w:r>
            <w:fldChar w:fldCharType="begin"/>
          </w:r>
          <w:r>
            <w:instrText xml:space="preserve"> PAGEREF _Toc30943 </w:instrText>
          </w:r>
          <w:r>
            <w:fldChar w:fldCharType="separate"/>
          </w:r>
          <w:r>
            <w:t>1</w:t>
          </w:r>
          <w:r>
            <w:fldChar w:fldCharType="end"/>
          </w:r>
          <w:r>
            <w:rPr>
              <w:szCs w:val="24"/>
            </w:rPr>
            <w:fldChar w:fldCharType="end"/>
          </w:r>
        </w:p>
        <w:p>
          <w:pPr>
            <w:pStyle w:val="14"/>
            <w:tabs>
              <w:tab w:val="right" w:leader="dot" w:pos="8312"/>
            </w:tabs>
          </w:pPr>
          <w:r>
            <w:rPr>
              <w:szCs w:val="24"/>
            </w:rPr>
            <w:fldChar w:fldCharType="begin"/>
          </w:r>
          <w:r>
            <w:rPr>
              <w:szCs w:val="24"/>
            </w:rPr>
            <w:instrText xml:space="preserve"> HYPERLINK \l _Toc4285 </w:instrText>
          </w:r>
          <w:r>
            <w:rPr>
              <w:szCs w:val="24"/>
            </w:rPr>
            <w:fldChar w:fldCharType="separate"/>
          </w:r>
          <w:r>
            <w:rPr>
              <w:rFonts w:hint="eastAsia"/>
            </w:rPr>
            <w:t>二、重大事项提示</w:t>
          </w:r>
          <w:r>
            <w:tab/>
          </w:r>
          <w:r>
            <w:fldChar w:fldCharType="begin"/>
          </w:r>
          <w:r>
            <w:instrText xml:space="preserve"> PAGEREF _Toc4285 </w:instrText>
          </w:r>
          <w:r>
            <w:fldChar w:fldCharType="separate"/>
          </w:r>
          <w:r>
            <w:t>3</w:t>
          </w:r>
          <w:r>
            <w:fldChar w:fldCharType="end"/>
          </w:r>
          <w:r>
            <w:rPr>
              <w:szCs w:val="24"/>
            </w:rPr>
            <w:fldChar w:fldCharType="end"/>
          </w:r>
        </w:p>
        <w:p>
          <w:pPr>
            <w:pStyle w:val="13"/>
            <w:tabs>
              <w:tab w:val="right" w:leader="dot" w:pos="8312"/>
            </w:tabs>
            <w:rPr>
              <w:b/>
              <w:bCs/>
            </w:rPr>
          </w:pPr>
          <w:r>
            <w:rPr>
              <w:b/>
              <w:bCs/>
              <w:szCs w:val="24"/>
            </w:rPr>
            <w:fldChar w:fldCharType="begin"/>
          </w:r>
          <w:r>
            <w:rPr>
              <w:b/>
              <w:bCs/>
              <w:szCs w:val="24"/>
            </w:rPr>
            <w:instrText xml:space="preserve"> HYPERLINK \l _Toc25859 </w:instrText>
          </w:r>
          <w:r>
            <w:rPr>
              <w:b/>
              <w:bCs/>
              <w:szCs w:val="24"/>
            </w:rPr>
            <w:fldChar w:fldCharType="separate"/>
          </w:r>
          <w:r>
            <w:rPr>
              <w:rFonts w:hint="eastAsia"/>
              <w:b/>
              <w:bCs/>
            </w:rPr>
            <w:t>第二章  基本情况</w:t>
          </w:r>
          <w:r>
            <w:rPr>
              <w:b/>
              <w:bCs/>
            </w:rPr>
            <w:tab/>
          </w:r>
          <w:r>
            <w:rPr>
              <w:b/>
              <w:bCs/>
            </w:rPr>
            <w:fldChar w:fldCharType="begin"/>
          </w:r>
          <w:r>
            <w:rPr>
              <w:b/>
              <w:bCs/>
            </w:rPr>
            <w:instrText xml:space="preserve"> PAGEREF _Toc25859 </w:instrText>
          </w:r>
          <w:r>
            <w:rPr>
              <w:b/>
              <w:bCs/>
            </w:rPr>
            <w:fldChar w:fldCharType="separate"/>
          </w:r>
          <w:r>
            <w:rPr>
              <w:b/>
              <w:bCs/>
            </w:rPr>
            <w:t>5</w:t>
          </w:r>
          <w:r>
            <w:rPr>
              <w:b/>
              <w:bCs/>
            </w:rPr>
            <w:fldChar w:fldCharType="end"/>
          </w:r>
          <w:r>
            <w:rPr>
              <w:b/>
              <w:bCs/>
              <w:szCs w:val="24"/>
            </w:rPr>
            <w:fldChar w:fldCharType="end"/>
          </w:r>
        </w:p>
        <w:p>
          <w:pPr>
            <w:pStyle w:val="14"/>
            <w:tabs>
              <w:tab w:val="right" w:leader="dot" w:pos="8312"/>
            </w:tabs>
          </w:pPr>
          <w:r>
            <w:rPr>
              <w:szCs w:val="24"/>
            </w:rPr>
            <w:fldChar w:fldCharType="begin"/>
          </w:r>
          <w:r>
            <w:rPr>
              <w:szCs w:val="24"/>
            </w:rPr>
            <w:instrText xml:space="preserve"> HYPERLINK \l _Toc21956 </w:instrText>
          </w:r>
          <w:r>
            <w:rPr>
              <w:szCs w:val="24"/>
            </w:rPr>
            <w:fldChar w:fldCharType="separate"/>
          </w:r>
          <w:r>
            <w:rPr>
              <w:rFonts w:hint="eastAsia"/>
            </w:rPr>
            <w:t>一、公司基本情况</w:t>
          </w:r>
          <w:r>
            <w:tab/>
          </w:r>
          <w:r>
            <w:fldChar w:fldCharType="begin"/>
          </w:r>
          <w:r>
            <w:instrText xml:space="preserve"> PAGEREF _Toc21956 </w:instrText>
          </w:r>
          <w:r>
            <w:fldChar w:fldCharType="separate"/>
          </w:r>
          <w:r>
            <w:t>5</w:t>
          </w:r>
          <w:r>
            <w:fldChar w:fldCharType="end"/>
          </w:r>
          <w:r>
            <w:rPr>
              <w:szCs w:val="24"/>
            </w:rPr>
            <w:fldChar w:fldCharType="end"/>
          </w:r>
        </w:p>
        <w:p>
          <w:pPr>
            <w:pStyle w:val="14"/>
            <w:tabs>
              <w:tab w:val="right" w:leader="dot" w:pos="8312"/>
            </w:tabs>
          </w:pPr>
          <w:r>
            <w:rPr>
              <w:szCs w:val="24"/>
            </w:rPr>
            <w:fldChar w:fldCharType="begin"/>
          </w:r>
          <w:r>
            <w:rPr>
              <w:szCs w:val="24"/>
            </w:rPr>
            <w:instrText xml:space="preserve"> HYPERLINK \l _Toc14131 </w:instrText>
          </w:r>
          <w:r>
            <w:rPr>
              <w:szCs w:val="24"/>
            </w:rPr>
            <w:fldChar w:fldCharType="separate"/>
          </w:r>
          <w:r>
            <w:rPr>
              <w:rFonts w:hint="eastAsia"/>
              <w:lang w:val="en-US" w:eastAsia="zh-CN"/>
            </w:rPr>
            <w:t>二</w:t>
          </w:r>
          <w:r>
            <w:rPr>
              <w:rFonts w:hint="eastAsia"/>
              <w:lang w:eastAsia="zh-CN"/>
            </w:rPr>
            <w:t>、</w:t>
          </w:r>
          <w:r>
            <w:rPr>
              <w:rFonts w:hint="eastAsia"/>
            </w:rPr>
            <w:t>公司目前股权结构及股东情况</w:t>
          </w:r>
          <w:r>
            <w:tab/>
          </w:r>
          <w:r>
            <w:fldChar w:fldCharType="begin"/>
          </w:r>
          <w:r>
            <w:instrText xml:space="preserve"> PAGEREF _Toc14131 </w:instrText>
          </w:r>
          <w:r>
            <w:fldChar w:fldCharType="separate"/>
          </w:r>
          <w:r>
            <w:t>7</w:t>
          </w:r>
          <w:r>
            <w:fldChar w:fldCharType="end"/>
          </w:r>
          <w:r>
            <w:rPr>
              <w:szCs w:val="24"/>
            </w:rPr>
            <w:fldChar w:fldCharType="end"/>
          </w:r>
        </w:p>
        <w:p>
          <w:pPr>
            <w:pStyle w:val="14"/>
            <w:tabs>
              <w:tab w:val="right" w:leader="dot" w:pos="8312"/>
            </w:tabs>
          </w:pPr>
          <w:r>
            <w:rPr>
              <w:szCs w:val="24"/>
            </w:rPr>
            <w:fldChar w:fldCharType="begin"/>
          </w:r>
          <w:r>
            <w:rPr>
              <w:szCs w:val="24"/>
            </w:rPr>
            <w:instrText xml:space="preserve"> HYPERLINK \l _Toc17023 </w:instrText>
          </w:r>
          <w:r>
            <w:rPr>
              <w:szCs w:val="24"/>
            </w:rPr>
            <w:fldChar w:fldCharType="separate"/>
          </w:r>
          <w:r>
            <w:rPr>
              <w:rFonts w:hint="eastAsia"/>
            </w:rPr>
            <w:t>三、公司主要的商业模式</w:t>
          </w:r>
          <w:r>
            <w:tab/>
          </w:r>
          <w:r>
            <w:fldChar w:fldCharType="begin"/>
          </w:r>
          <w:r>
            <w:instrText xml:space="preserve"> PAGEREF _Toc17023 </w:instrText>
          </w:r>
          <w:r>
            <w:fldChar w:fldCharType="separate"/>
          </w:r>
          <w:r>
            <w:t>7</w:t>
          </w:r>
          <w:r>
            <w:fldChar w:fldCharType="end"/>
          </w:r>
          <w:r>
            <w:rPr>
              <w:szCs w:val="24"/>
            </w:rPr>
            <w:fldChar w:fldCharType="end"/>
          </w:r>
        </w:p>
        <w:p>
          <w:pPr>
            <w:pStyle w:val="14"/>
            <w:tabs>
              <w:tab w:val="right" w:leader="dot" w:pos="8312"/>
            </w:tabs>
          </w:pPr>
          <w:r>
            <w:rPr>
              <w:szCs w:val="24"/>
            </w:rPr>
            <w:fldChar w:fldCharType="begin"/>
          </w:r>
          <w:r>
            <w:rPr>
              <w:szCs w:val="24"/>
            </w:rPr>
            <w:instrText xml:space="preserve"> HYPERLINK \l _Toc29123 </w:instrText>
          </w:r>
          <w:r>
            <w:rPr>
              <w:szCs w:val="24"/>
            </w:rPr>
            <w:fldChar w:fldCharType="separate"/>
          </w:r>
          <w:r>
            <w:rPr>
              <w:rFonts w:hint="eastAsia"/>
            </w:rPr>
            <w:t>四、公司主要产品</w:t>
          </w:r>
          <w:r>
            <w:tab/>
          </w:r>
          <w:r>
            <w:fldChar w:fldCharType="begin"/>
          </w:r>
          <w:r>
            <w:instrText xml:space="preserve"> PAGEREF _Toc29123 </w:instrText>
          </w:r>
          <w:r>
            <w:fldChar w:fldCharType="separate"/>
          </w:r>
          <w:r>
            <w:t>9</w:t>
          </w:r>
          <w:r>
            <w:fldChar w:fldCharType="end"/>
          </w:r>
          <w:r>
            <w:rPr>
              <w:szCs w:val="24"/>
            </w:rPr>
            <w:fldChar w:fldCharType="end"/>
          </w:r>
        </w:p>
        <w:p>
          <w:pPr>
            <w:pStyle w:val="14"/>
            <w:tabs>
              <w:tab w:val="right" w:leader="dot" w:pos="8312"/>
            </w:tabs>
          </w:pPr>
          <w:r>
            <w:rPr>
              <w:szCs w:val="24"/>
            </w:rPr>
            <w:fldChar w:fldCharType="begin"/>
          </w:r>
          <w:r>
            <w:rPr>
              <w:szCs w:val="24"/>
            </w:rPr>
            <w:instrText xml:space="preserve"> HYPERLINK \l _Toc4265 </w:instrText>
          </w:r>
          <w:r>
            <w:rPr>
              <w:szCs w:val="24"/>
            </w:rPr>
            <w:fldChar w:fldCharType="separate"/>
          </w:r>
          <w:r>
            <w:rPr>
              <w:rFonts w:hint="eastAsia"/>
              <w:lang w:val="en-US" w:eastAsia="zh-CN"/>
            </w:rPr>
            <w:t>五</w:t>
          </w:r>
          <w:r>
            <w:rPr>
              <w:rFonts w:hint="eastAsia"/>
            </w:rPr>
            <w:t>、会计师审计意见及财务报表</w:t>
          </w:r>
          <w:r>
            <w:tab/>
          </w:r>
          <w:r>
            <w:fldChar w:fldCharType="begin"/>
          </w:r>
          <w:r>
            <w:instrText xml:space="preserve"> PAGEREF _Toc4265 </w:instrText>
          </w:r>
          <w:r>
            <w:fldChar w:fldCharType="separate"/>
          </w:r>
          <w:r>
            <w:t>10</w:t>
          </w:r>
          <w:r>
            <w:fldChar w:fldCharType="end"/>
          </w:r>
          <w:r>
            <w:rPr>
              <w:szCs w:val="24"/>
            </w:rPr>
            <w:fldChar w:fldCharType="end"/>
          </w:r>
        </w:p>
        <w:p>
          <w:pPr>
            <w:pStyle w:val="14"/>
            <w:tabs>
              <w:tab w:val="right" w:leader="dot" w:pos="8312"/>
            </w:tabs>
          </w:pPr>
          <w:r>
            <w:rPr>
              <w:szCs w:val="24"/>
            </w:rPr>
            <w:fldChar w:fldCharType="begin"/>
          </w:r>
          <w:r>
            <w:rPr>
              <w:szCs w:val="24"/>
            </w:rPr>
            <w:instrText xml:space="preserve"> HYPERLINK \l _Toc3413 </w:instrText>
          </w:r>
          <w:r>
            <w:rPr>
              <w:szCs w:val="24"/>
            </w:rPr>
            <w:fldChar w:fldCharType="separate"/>
          </w:r>
          <w:r>
            <w:rPr>
              <w:rFonts w:hint="eastAsia"/>
              <w:lang w:val="en-US" w:eastAsia="zh-CN"/>
            </w:rPr>
            <w:t>六</w:t>
          </w:r>
          <w:r>
            <w:rPr>
              <w:rFonts w:hint="eastAsia"/>
            </w:rPr>
            <w:t>、公司经营目标和计划</w:t>
          </w:r>
          <w:r>
            <w:tab/>
          </w:r>
          <w:r>
            <w:fldChar w:fldCharType="begin"/>
          </w:r>
          <w:r>
            <w:instrText xml:space="preserve"> PAGEREF _Toc3413 </w:instrText>
          </w:r>
          <w:r>
            <w:fldChar w:fldCharType="separate"/>
          </w:r>
          <w:r>
            <w:t>20</w:t>
          </w:r>
          <w:r>
            <w:fldChar w:fldCharType="end"/>
          </w:r>
          <w:r>
            <w:rPr>
              <w:szCs w:val="24"/>
            </w:rPr>
            <w:fldChar w:fldCharType="end"/>
          </w:r>
        </w:p>
        <w:p>
          <w:pPr>
            <w:keepNext w:val="0"/>
            <w:keepLines w:val="0"/>
            <w:pageBreakBefore w:val="0"/>
            <w:kinsoku/>
            <w:wordWrap/>
            <w:overflowPunct/>
            <w:topLinePunct w:val="0"/>
            <w:autoSpaceDE/>
            <w:autoSpaceDN/>
            <w:bidi w:val="0"/>
            <w:adjustRightInd/>
            <w:snapToGrid/>
            <w:spacing w:line="360" w:lineRule="auto"/>
            <w:textAlignment w:val="auto"/>
          </w:pPr>
          <w:r>
            <w:rPr>
              <w:szCs w:val="24"/>
            </w:rPr>
            <w:fldChar w:fldCharType="end"/>
          </w:r>
        </w:p>
      </w:sdtContent>
    </w:sdt>
    <w:p>
      <w:pPr>
        <w:jc w:val="center"/>
        <w:rPr>
          <w:rFonts w:hint="eastAsia"/>
        </w:rPr>
        <w:sectPr>
          <w:footerReference r:id="rId6" w:type="default"/>
          <w:pgSz w:w="11906" w:h="16838"/>
          <w:pgMar w:top="1440" w:right="1797" w:bottom="1440" w:left="1797"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rPr>
        <w:br w:type="page"/>
      </w:r>
    </w:p>
    <w:p>
      <w:pPr>
        <w:pStyle w:val="3"/>
        <w:bidi w:val="0"/>
        <w:ind w:left="0" w:leftChars="0" w:firstLine="0" w:firstLineChars="0"/>
        <w:jc w:val="center"/>
        <w:rPr>
          <w:rFonts w:hint="eastAsia"/>
        </w:rPr>
      </w:pPr>
      <w:bookmarkStart w:id="0" w:name="_Toc16793"/>
      <w:r>
        <w:rPr>
          <w:rFonts w:hint="eastAsia"/>
        </w:rPr>
        <w:t>第一章  重大风险及重大事项提示</w:t>
      </w:r>
      <w:bookmarkEnd w:id="0"/>
    </w:p>
    <w:p>
      <w:pPr>
        <w:bidi w:val="0"/>
        <w:rPr>
          <w:rFonts w:hint="eastAsia"/>
        </w:rPr>
      </w:pPr>
      <w:r>
        <w:rPr>
          <w:rFonts w:hint="eastAsia"/>
        </w:rPr>
        <w:t>本公司提醒投资者应认真阅读本挂牌转让说明书全文，并特别注意下列重大提示。</w:t>
      </w:r>
    </w:p>
    <w:p>
      <w:pPr>
        <w:pStyle w:val="4"/>
        <w:bidi w:val="0"/>
        <w:rPr>
          <w:rFonts w:hint="eastAsia"/>
          <w:highlight w:val="none"/>
        </w:rPr>
      </w:pPr>
      <w:bookmarkStart w:id="1" w:name="_Toc30943"/>
      <w:r>
        <w:rPr>
          <w:rFonts w:hint="eastAsia"/>
          <w:highlight w:val="none"/>
        </w:rPr>
        <w:t>一、重大风险提示及应对措施</w:t>
      </w:r>
      <w:bookmarkEnd w:id="1"/>
      <w:bookmarkStart w:id="2" w:name="_Toc346286106"/>
      <w:bookmarkStart w:id="3" w:name="_Toc346092692"/>
      <w:bookmarkStart w:id="4" w:name="_Toc8416"/>
      <w:bookmarkStart w:id="5" w:name="_Toc317756546"/>
      <w:bookmarkStart w:id="6" w:name="_Toc347754973"/>
      <w:bookmarkStart w:id="7" w:name="_Toc342567470"/>
      <w:bookmarkStart w:id="8" w:name="_Toc347823158"/>
    </w:p>
    <w:bookmarkEnd w:id="2"/>
    <w:bookmarkEnd w:id="3"/>
    <w:bookmarkEnd w:id="4"/>
    <w:bookmarkEnd w:id="5"/>
    <w:bookmarkEnd w:id="6"/>
    <w:bookmarkEnd w:id="7"/>
    <w:bookmarkEnd w:id="8"/>
    <w:p>
      <w:pPr>
        <w:pStyle w:val="5"/>
        <w:bidi w:val="0"/>
      </w:pPr>
      <w:bookmarkStart w:id="9" w:name="_Toc513067934"/>
      <w:bookmarkStart w:id="10" w:name="_Toc236113885"/>
      <w:bookmarkStart w:id="11" w:name="_Toc236206525"/>
      <w:bookmarkStart w:id="12" w:name="_Toc236113128"/>
      <w:bookmarkStart w:id="13" w:name="_Toc245701698"/>
      <w:bookmarkStart w:id="14" w:name="_Toc280345465"/>
      <w:r>
        <w:rPr>
          <w:rFonts w:hint="eastAsia"/>
          <w:lang w:eastAsia="zh-CN"/>
        </w:rPr>
        <w:t>（</w:t>
      </w:r>
      <w:r>
        <w:rPr>
          <w:rFonts w:hint="eastAsia"/>
          <w:lang w:val="en-US" w:eastAsia="zh-CN"/>
        </w:rPr>
        <w:t>一</w:t>
      </w:r>
      <w:r>
        <w:rPr>
          <w:rFonts w:hint="eastAsia"/>
          <w:lang w:eastAsia="zh-CN"/>
        </w:rPr>
        <w:t>）</w:t>
      </w:r>
      <w:r>
        <w:t>食品安全和质量控制风险</w:t>
      </w:r>
    </w:p>
    <w:p>
      <w:pPr>
        <w:bidi w:val="0"/>
      </w:pPr>
      <w:r>
        <w:t>公司主要从事食用植物油的研发、生产和销售，产品以</w:t>
      </w:r>
      <w:r>
        <w:rPr>
          <w:rFonts w:hint="eastAsia"/>
          <w:lang w:val="en-US" w:eastAsia="zh-CN"/>
        </w:rPr>
        <w:t>公司自主研发生产的花生油为主</w:t>
      </w:r>
      <w:r>
        <w:t>。食用植物油是消费者日常主要消费品之一。随着我国对食用植物油安全的重视、消费者对食用植物油安全意识以及权益保护意识的增强，食用植物油质量安全控制已经成为其加工企业经营活动中的重中之重。</w:t>
      </w:r>
    </w:p>
    <w:p>
      <w:pPr>
        <w:bidi w:val="0"/>
      </w:pPr>
      <w:r>
        <w:t>公司自成立以来十分重视食品安全，</w:t>
      </w:r>
      <w:r>
        <w:rPr>
          <w:rFonts w:hint="eastAsia"/>
          <w:lang w:val="en-US" w:eastAsia="zh-CN"/>
        </w:rPr>
        <w:t>先后</w:t>
      </w:r>
      <w:r>
        <w:t>通过了 ISO9001质量管理体系认证</w:t>
      </w:r>
      <w:r>
        <w:rPr>
          <w:rFonts w:hint="eastAsia"/>
          <w:lang w:eastAsia="zh-CN"/>
        </w:rPr>
        <w:t>、ISO22000食品安全管理体系</w:t>
      </w:r>
      <w:r>
        <w:rPr>
          <w:rFonts w:hint="eastAsia"/>
          <w:lang w:val="en-US" w:eastAsia="zh-CN"/>
        </w:rPr>
        <w:t>认证</w:t>
      </w:r>
      <w:r>
        <w:t>，制定了一系列的质量管理制度并严格实施，未发生重大食品安全和质量事故。尽管公司已针对生产、销售等环节采取了严格的管理措施，仍不能完全排除因相关细节处置不当而导致食品安全和质量事件发生的可能性。如果发生食品安全和质量事故，那么将对公司的品牌形象以及相关产品的销售造成不良影响，并有可能引发赔偿，公司存在食品安全和质量控制风险。</w:t>
      </w:r>
    </w:p>
    <w:p>
      <w:pPr>
        <w:bidi w:val="0"/>
        <w:rPr>
          <w:rFonts w:hint="eastAsia" w:eastAsia="宋体"/>
          <w:lang w:val="en-US" w:eastAsia="zh-CN"/>
        </w:rPr>
      </w:pPr>
      <w:r>
        <w:rPr>
          <w:rFonts w:hint="eastAsia"/>
          <w:lang w:val="en-US" w:eastAsia="zh-CN"/>
        </w:rPr>
        <w:t>针对上述风险，</w:t>
      </w:r>
      <w:r>
        <w:rPr>
          <w:rFonts w:hint="eastAsia"/>
        </w:rPr>
        <w:t>公司设置了专门的</w:t>
      </w:r>
      <w:r>
        <w:rPr>
          <w:rFonts w:hint="eastAsia"/>
          <w:lang w:val="en-US" w:eastAsia="zh-CN"/>
        </w:rPr>
        <w:t>质检部</w:t>
      </w:r>
      <w:r>
        <w:rPr>
          <w:rFonts w:hint="eastAsia"/>
        </w:rPr>
        <w:t>，包括总经理负责制及现场品控、化验员</w:t>
      </w:r>
      <w:r>
        <w:t>等职责岗位，负责公司所有产品的质量监控问题。具体职责包括：根据国家相关法律法规建立、健全公</w:t>
      </w:r>
      <w:r>
        <w:rPr>
          <w:rFonts w:hint="eastAsia"/>
        </w:rPr>
        <w:t>司的产品质量标准和产品质量控制体系；对公司采购的原材料和产成品的质量进行检验，确保公司</w:t>
      </w:r>
      <w:r>
        <w:rPr>
          <w:rFonts w:hint="eastAsia"/>
          <w:lang w:val="en-US" w:eastAsia="zh-CN"/>
        </w:rPr>
        <w:t>产</w:t>
      </w:r>
      <w:r>
        <w:rPr>
          <w:rFonts w:hint="eastAsia"/>
        </w:rPr>
        <w:t>品安全；对各车间产品工艺流程进行跟进完善</w:t>
      </w:r>
      <w:r>
        <w:rPr>
          <w:rFonts w:hint="eastAsia"/>
          <w:lang w:eastAsia="zh-CN"/>
        </w:rPr>
        <w:t>。</w:t>
      </w:r>
    </w:p>
    <w:p>
      <w:pPr>
        <w:pStyle w:val="5"/>
        <w:bidi w:val="0"/>
      </w:pPr>
      <w:r>
        <w:rPr>
          <w:rFonts w:hint="eastAsia"/>
          <w:lang w:eastAsia="zh-CN"/>
        </w:rPr>
        <w:t>（</w:t>
      </w:r>
      <w:r>
        <w:rPr>
          <w:rFonts w:hint="eastAsia"/>
          <w:lang w:val="en-US" w:eastAsia="zh-CN"/>
        </w:rPr>
        <w:t>二</w:t>
      </w:r>
      <w:r>
        <w:rPr>
          <w:rFonts w:hint="eastAsia"/>
          <w:lang w:eastAsia="zh-CN"/>
        </w:rPr>
        <w:t>）</w:t>
      </w:r>
      <w:r>
        <w:rPr>
          <w:rFonts w:hint="eastAsia"/>
        </w:rPr>
        <w:t>市场竞争风险</w:t>
      </w:r>
      <w:bookmarkEnd w:id="9"/>
    </w:p>
    <w:p>
      <w:pPr>
        <w:bidi w:val="0"/>
        <w:rPr>
          <w:rFonts w:hint="eastAsia"/>
        </w:rPr>
      </w:pPr>
      <w:r>
        <w:rPr>
          <w:rFonts w:hint="eastAsia"/>
          <w:lang w:val="en-US" w:eastAsia="zh-CN"/>
        </w:rPr>
        <w:t>经过十余年积累发展，公司建立了相对完善的产品产供销体系，</w:t>
      </w:r>
      <w:r>
        <w:rPr>
          <w:rFonts w:hint="eastAsia"/>
        </w:rPr>
        <w:t>并逐步向其他省份扩展。在食用植物油加工行业，虽然</w:t>
      </w:r>
      <w:r>
        <w:rPr>
          <w:rFonts w:hint="eastAsia"/>
          <w:lang w:val="en-US" w:eastAsia="zh-CN"/>
        </w:rPr>
        <w:t>公司</w:t>
      </w:r>
      <w:r>
        <w:rPr>
          <w:rFonts w:hint="eastAsia"/>
        </w:rPr>
        <w:t>跟中粮集团、</w:t>
      </w:r>
      <w:r>
        <w:rPr>
          <w:rFonts w:hint="eastAsia"/>
          <w:lang w:val="en-US" w:eastAsia="zh-CN"/>
        </w:rPr>
        <w:t>鲁花集团、丰益集团、</w:t>
      </w:r>
      <w:r>
        <w:rPr>
          <w:rFonts w:hint="eastAsia"/>
        </w:rPr>
        <w:t>西王食品等国内</w:t>
      </w:r>
      <w:r>
        <w:rPr>
          <w:rFonts w:hint="eastAsia"/>
          <w:lang w:val="en-US" w:eastAsia="zh-CN"/>
        </w:rPr>
        <w:t>外</w:t>
      </w:r>
      <w:r>
        <w:rPr>
          <w:rFonts w:hint="eastAsia"/>
        </w:rPr>
        <w:t>较大的食用植物油加工企业相比在规模和品牌知名度上存在一定的差距，但</w:t>
      </w:r>
      <w:r>
        <w:rPr>
          <w:rFonts w:hint="eastAsia"/>
          <w:lang w:val="en-US" w:eastAsia="zh-CN"/>
        </w:rPr>
        <w:t>公司采取扎根本地、步步推进的经营战略，已经在龙口及周边市场取得了扎实的市场基础</w:t>
      </w:r>
      <w:r>
        <w:rPr>
          <w:rFonts w:hint="eastAsia"/>
        </w:rPr>
        <w:t>。未来食用植物油行业竞争会愈发激烈，公司如果不能有效推广自有品牌，拓宽营销渠道，在市场竞争加剧时可能会面临较大的风险。</w:t>
      </w:r>
    </w:p>
    <w:p>
      <w:pPr>
        <w:bidi w:val="0"/>
      </w:pPr>
      <w:r>
        <w:rPr>
          <w:rFonts w:hint="eastAsia"/>
          <w:lang w:eastAsia="zh-CN"/>
        </w:rPr>
        <w:t>针对上述风险，公司将进一步加大对产品的研发及技术投入，建立完善的客户服务体系，形成差异化的竞争优势，提高公司的议价能力，应对市场竞争的风险。</w:t>
      </w:r>
      <w:bookmarkEnd w:id="10"/>
      <w:bookmarkEnd w:id="11"/>
      <w:bookmarkEnd w:id="12"/>
      <w:bookmarkEnd w:id="13"/>
      <w:bookmarkEnd w:id="14"/>
      <w:bookmarkStart w:id="15" w:name="_Toc346092694"/>
      <w:bookmarkStart w:id="16" w:name="_Toc236206526"/>
      <w:bookmarkStart w:id="17" w:name="_Toc236113886"/>
      <w:bookmarkStart w:id="18" w:name="_Toc347823160"/>
      <w:bookmarkStart w:id="19" w:name="_Toc317756548"/>
      <w:bookmarkStart w:id="20" w:name="_Toc342567472"/>
      <w:bookmarkStart w:id="21" w:name="_Toc346286108"/>
      <w:bookmarkStart w:id="22" w:name="_Toc245701699"/>
      <w:bookmarkStart w:id="23" w:name="_Toc236113129"/>
      <w:bookmarkStart w:id="24" w:name="_Toc347754975"/>
      <w:bookmarkStart w:id="25" w:name="_Toc280345466"/>
    </w:p>
    <w:bookmarkEnd w:id="15"/>
    <w:bookmarkEnd w:id="16"/>
    <w:bookmarkEnd w:id="17"/>
    <w:bookmarkEnd w:id="18"/>
    <w:bookmarkEnd w:id="19"/>
    <w:bookmarkEnd w:id="20"/>
    <w:bookmarkEnd w:id="21"/>
    <w:bookmarkEnd w:id="22"/>
    <w:bookmarkEnd w:id="23"/>
    <w:bookmarkEnd w:id="24"/>
    <w:bookmarkEnd w:id="25"/>
    <w:p>
      <w:pPr>
        <w:pStyle w:val="5"/>
        <w:bidi w:val="0"/>
      </w:pPr>
      <w:bookmarkStart w:id="26" w:name="_Toc513067937"/>
      <w:r>
        <w:rPr>
          <w:rFonts w:hint="eastAsia"/>
          <w:lang w:eastAsia="zh-CN"/>
        </w:rPr>
        <w:t>（</w:t>
      </w:r>
      <w:r>
        <w:rPr>
          <w:rFonts w:hint="eastAsia"/>
          <w:lang w:val="en-US" w:eastAsia="zh-CN"/>
        </w:rPr>
        <w:t>三</w:t>
      </w:r>
      <w:r>
        <w:rPr>
          <w:rFonts w:hint="eastAsia"/>
          <w:lang w:eastAsia="zh-CN"/>
        </w:rPr>
        <w:t>）</w:t>
      </w:r>
      <w:r>
        <w:rPr>
          <w:rFonts w:hint="eastAsia"/>
          <w:lang w:val="en-US" w:eastAsia="zh-CN"/>
        </w:rPr>
        <w:t>债务风险</w:t>
      </w:r>
      <w:bookmarkEnd w:id="26"/>
    </w:p>
    <w:p>
      <w:pPr>
        <w:bidi w:val="0"/>
        <w:rPr>
          <w:rFonts w:hint="eastAsia" w:ascii="宋体" w:hAnsi="宋体"/>
          <w:lang w:val="en-US" w:eastAsia="zh-CN"/>
        </w:rPr>
      </w:pPr>
      <w:bookmarkStart w:id="27" w:name="_Toc236113888"/>
      <w:bookmarkStart w:id="28" w:name="_Toc346286110"/>
      <w:bookmarkStart w:id="29" w:name="_Toc347823162"/>
      <w:bookmarkStart w:id="30" w:name="_Toc236206528"/>
      <w:bookmarkStart w:id="31" w:name="_Toc347754977"/>
      <w:bookmarkStart w:id="32" w:name="_Toc280345468"/>
      <w:bookmarkStart w:id="33" w:name="_Toc346092696"/>
      <w:bookmarkStart w:id="34" w:name="_Toc236113131"/>
      <w:bookmarkStart w:id="35" w:name="_Toc245701701"/>
      <w:bookmarkStart w:id="36" w:name="_Toc317756550"/>
      <w:bookmarkStart w:id="37" w:name="_Toc342567474"/>
      <w:r>
        <w:rPr>
          <w:rFonts w:hint="eastAsia" w:ascii="宋体" w:hAnsi="宋体"/>
          <w:lang w:val="en-US" w:eastAsia="zh-CN"/>
        </w:rPr>
        <w:t>报告期内，</w:t>
      </w:r>
      <w:r>
        <w:rPr>
          <w:rFonts w:hint="eastAsia" w:ascii="宋体" w:hAnsi="宋体"/>
        </w:rPr>
        <w:t>公司资产负债率</w:t>
      </w:r>
      <w:r>
        <w:rPr>
          <w:rFonts w:hint="eastAsia" w:ascii="宋体" w:hAnsi="宋体"/>
          <w:lang w:val="en-US" w:eastAsia="zh-CN"/>
        </w:rPr>
        <w:t>较高</w:t>
      </w:r>
      <w:r>
        <w:rPr>
          <w:rFonts w:hint="eastAsia" w:ascii="宋体" w:hAnsi="宋体"/>
        </w:rPr>
        <w:t>，</w:t>
      </w:r>
      <w:r>
        <w:rPr>
          <w:rFonts w:hint="eastAsia" w:ascii="宋体" w:hAnsi="宋体"/>
          <w:lang w:val="en-US" w:eastAsia="zh-CN"/>
        </w:rPr>
        <w:t>2020年11月30日和2019年12月31日的资产负债率分别为99.27%、100.28%。公司负债主要由银行借款、股东借款构成，截止2020年11月30日，公司短期银行借款占负债总额的比例为17.16%；其他应付款项中，股东向公司提供的借款占公司负债总额的比例为56.09%，上述两项合计占公司负债总额的比例为73.25%。</w:t>
      </w:r>
    </w:p>
    <w:p>
      <w:pPr>
        <w:bidi w:val="0"/>
        <w:rPr>
          <w:rFonts w:hint="eastAsia"/>
        </w:rPr>
      </w:pPr>
      <w:r>
        <w:rPr>
          <w:rFonts w:hint="eastAsia" w:ascii="宋体" w:hAnsi="宋体"/>
          <w:lang w:val="en-US" w:eastAsia="zh-CN"/>
        </w:rPr>
        <w:t>在下游市场，特别是餐饮行业整体受疫情影响下，公司销售也受到波及。公司通过银行短期借款及向股东借款来获取周转资金，优化资金结构，分散资金压力；同时</w:t>
      </w:r>
      <w:r>
        <w:rPr>
          <w:rFonts w:hint="eastAsia" w:ascii="宋体" w:hAnsi="宋体"/>
        </w:rPr>
        <w:t>，</w:t>
      </w:r>
      <w:r>
        <w:rPr>
          <w:rFonts w:hint="eastAsia" w:ascii="宋体" w:hAnsi="宋体"/>
          <w:lang w:val="en-US" w:eastAsia="zh-CN"/>
        </w:rPr>
        <w:t>公司负债率中，有一半以上来自向股东的无偿借款，财务风险相对较小，期末公司现金现金流量利息保障倍数为4.35倍，公司具有较强的短期债务偿还能力</w:t>
      </w:r>
      <w:r>
        <w:rPr>
          <w:rFonts w:hint="eastAsia"/>
        </w:rPr>
        <w:t>。</w:t>
      </w:r>
    </w:p>
    <w:p>
      <w:pPr>
        <w:bidi w:val="0"/>
        <w:rPr>
          <w:rFonts w:hint="default"/>
          <w:lang w:val="en-US"/>
        </w:rPr>
      </w:pPr>
      <w:r>
        <w:rPr>
          <w:rFonts w:hint="eastAsia"/>
          <w:lang w:eastAsia="zh-CN"/>
        </w:rPr>
        <w:t>针对上述风险，</w:t>
      </w:r>
      <w:r>
        <w:rPr>
          <w:rFonts w:hint="eastAsia"/>
        </w:rPr>
        <w:t>公司将进一步</w:t>
      </w:r>
      <w:r>
        <w:rPr>
          <w:rFonts w:hint="eastAsia"/>
          <w:lang w:val="en-US" w:eastAsia="zh-CN"/>
        </w:rPr>
        <w:t>合理筹划资金的筹集与使用，通过积极稳健的市场策略拓展销售渠道，增加规模优势，提高报酬率，将债务风险进一步转变扩大为优势。</w:t>
      </w:r>
    </w:p>
    <w:bookmarkEnd w:id="27"/>
    <w:bookmarkEnd w:id="28"/>
    <w:bookmarkEnd w:id="29"/>
    <w:bookmarkEnd w:id="30"/>
    <w:bookmarkEnd w:id="31"/>
    <w:bookmarkEnd w:id="32"/>
    <w:bookmarkEnd w:id="33"/>
    <w:bookmarkEnd w:id="34"/>
    <w:bookmarkEnd w:id="35"/>
    <w:bookmarkEnd w:id="36"/>
    <w:bookmarkEnd w:id="37"/>
    <w:p>
      <w:pPr>
        <w:pStyle w:val="5"/>
        <w:bidi w:val="0"/>
      </w:pPr>
      <w:bookmarkStart w:id="38" w:name="_Toc317756553"/>
      <w:bookmarkStart w:id="39" w:name="_Toc346092699"/>
      <w:bookmarkStart w:id="40" w:name="_Toc342567477"/>
      <w:bookmarkStart w:id="41" w:name="_Toc513067938"/>
      <w:bookmarkStart w:id="42" w:name="_Toc346286113"/>
      <w:bookmarkStart w:id="43" w:name="_Toc347754980"/>
      <w:bookmarkStart w:id="44" w:name="_Toc347823165"/>
      <w:r>
        <w:rPr>
          <w:rFonts w:hint="eastAsia"/>
          <w:lang w:eastAsia="zh-CN"/>
        </w:rPr>
        <w:t>（</w:t>
      </w:r>
      <w:r>
        <w:rPr>
          <w:rFonts w:hint="eastAsia"/>
          <w:lang w:val="en-US" w:eastAsia="zh-CN"/>
        </w:rPr>
        <w:t>四</w:t>
      </w:r>
      <w:r>
        <w:rPr>
          <w:rFonts w:hint="eastAsia"/>
          <w:lang w:eastAsia="zh-CN"/>
        </w:rPr>
        <w:t>）</w:t>
      </w:r>
      <w:r>
        <w:rPr>
          <w:rFonts w:hint="eastAsia"/>
        </w:rPr>
        <w:t>公司治理和内部控制风险</w:t>
      </w:r>
      <w:bookmarkEnd w:id="38"/>
      <w:bookmarkEnd w:id="39"/>
      <w:bookmarkEnd w:id="40"/>
      <w:bookmarkEnd w:id="41"/>
      <w:bookmarkEnd w:id="42"/>
      <w:bookmarkEnd w:id="43"/>
      <w:bookmarkEnd w:id="44"/>
    </w:p>
    <w:p>
      <w:pPr>
        <w:bidi w:val="0"/>
        <w:rPr>
          <w:rFonts w:hint="eastAsia"/>
        </w:rPr>
      </w:pPr>
      <w:r>
        <w:rPr>
          <w:rFonts w:hint="eastAsia"/>
        </w:rPr>
        <w:t>经历此次挂牌辅导之后，</w:t>
      </w:r>
      <w:r>
        <w:t>公司治理和内部控制水平得到了明显提高，</w:t>
      </w:r>
      <w:r>
        <w:rPr>
          <w:rFonts w:hint="eastAsia"/>
        </w:rPr>
        <w:t>但各项管理制度的执行尚未经过实践检验，公司治理和内部控制体系也需要在经营过程中逐渐完善；同时，随着公司的快速发展，经营规模不断扩大，对公司治理将会提出更高的要求。因此，公司未来经营中可能存在因内部管理不适应发展需要而影响公司持续、稳定、健康发展的风险。</w:t>
      </w:r>
    </w:p>
    <w:p>
      <w:pPr>
        <w:bidi w:val="0"/>
        <w:rPr>
          <w:rFonts w:hint="eastAsia"/>
          <w:lang w:eastAsia="zh-CN"/>
        </w:rPr>
      </w:pPr>
      <w:r>
        <w:rPr>
          <w:rFonts w:hint="eastAsia"/>
          <w:lang w:eastAsia="zh-CN"/>
        </w:rPr>
        <w:t>针对上述风险，公司将</w:t>
      </w:r>
      <w:r>
        <w:rPr>
          <w:rFonts w:hint="eastAsia"/>
          <w:lang w:val="en-US" w:eastAsia="zh-CN"/>
        </w:rPr>
        <w:t>积极借助此次挂牌契机，深入学习资本市场，按照现代企业管理制度</w:t>
      </w:r>
      <w:r>
        <w:rPr>
          <w:rFonts w:hint="eastAsia"/>
          <w:lang w:eastAsia="zh-CN"/>
        </w:rPr>
        <w:t>进一步完善</w:t>
      </w:r>
      <w:r>
        <w:rPr>
          <w:rFonts w:hint="eastAsia"/>
          <w:lang w:val="en-US" w:eastAsia="zh-CN"/>
        </w:rPr>
        <w:t>公司治理</w:t>
      </w:r>
      <w:r>
        <w:rPr>
          <w:rFonts w:hint="eastAsia"/>
          <w:lang w:eastAsia="zh-CN"/>
        </w:rPr>
        <w:t>，</w:t>
      </w:r>
      <w:r>
        <w:rPr>
          <w:rFonts w:hint="eastAsia"/>
          <w:lang w:val="en-US" w:eastAsia="zh-CN"/>
        </w:rPr>
        <w:t>通过积极的理念贯彻与实践，提供公司整体治理水平与风险把控能力</w:t>
      </w:r>
      <w:r>
        <w:rPr>
          <w:rFonts w:hint="eastAsia"/>
          <w:lang w:eastAsia="zh-CN"/>
        </w:rPr>
        <w:t>。</w:t>
      </w:r>
    </w:p>
    <w:p>
      <w:pPr>
        <w:pStyle w:val="5"/>
        <w:bidi w:val="0"/>
      </w:pPr>
      <w:r>
        <w:rPr>
          <w:rFonts w:hint="eastAsia"/>
          <w:lang w:eastAsia="zh-CN"/>
        </w:rPr>
        <w:t>（</w:t>
      </w:r>
      <w:r>
        <w:rPr>
          <w:rFonts w:hint="eastAsia"/>
          <w:lang w:val="en-US" w:eastAsia="zh-CN"/>
        </w:rPr>
        <w:t>五</w:t>
      </w:r>
      <w:r>
        <w:rPr>
          <w:rFonts w:hint="eastAsia"/>
          <w:lang w:eastAsia="zh-CN"/>
        </w:rPr>
        <w:t>）</w:t>
      </w:r>
      <w:r>
        <w:t>实际控制人及控股股东不当控制风险</w:t>
      </w:r>
    </w:p>
    <w:p>
      <w:pPr>
        <w:bidi w:val="0"/>
        <w:rPr>
          <w:rFonts w:hint="eastAsia"/>
        </w:rPr>
      </w:pPr>
      <w:r>
        <w:rPr>
          <w:rFonts w:hint="eastAsia"/>
        </w:rPr>
        <w:t>公司控股股东和实际控制人均为</w:t>
      </w:r>
      <w:r>
        <w:rPr>
          <w:rFonts w:hint="eastAsia"/>
          <w:lang w:val="en-US" w:eastAsia="zh-CN"/>
        </w:rPr>
        <w:t>范华新</w:t>
      </w:r>
      <w:r>
        <w:rPr>
          <w:rFonts w:hint="eastAsia"/>
        </w:rPr>
        <w:t>，其直接持有公司</w:t>
      </w:r>
      <w:r>
        <w:rPr>
          <w:rFonts w:hint="eastAsia"/>
          <w:lang w:val="en-US" w:eastAsia="zh-CN"/>
        </w:rPr>
        <w:t>60</w:t>
      </w:r>
      <w:r>
        <w:rPr>
          <w:rFonts w:hint="eastAsia"/>
        </w:rPr>
        <w:t>.</w:t>
      </w:r>
      <w:r>
        <w:rPr>
          <w:rFonts w:hint="eastAsia"/>
          <w:lang w:val="en-US" w:eastAsia="zh-CN"/>
        </w:rPr>
        <w:t>0</w:t>
      </w:r>
      <w:r>
        <w:rPr>
          <w:rFonts w:hint="eastAsia"/>
        </w:rPr>
        <w:t>0%的股权份额，能够控制对公司的表决权，因此</w:t>
      </w:r>
      <w:r>
        <w:rPr>
          <w:rFonts w:hint="eastAsia"/>
          <w:lang w:val="en-US" w:eastAsia="zh-CN"/>
        </w:rPr>
        <w:t>范华新</w:t>
      </w:r>
      <w:r>
        <w:rPr>
          <w:rFonts w:hint="eastAsia"/>
        </w:rPr>
        <w:t>能够对公司股东会、</w:t>
      </w:r>
      <w:r>
        <w:rPr>
          <w:rFonts w:hint="eastAsia"/>
          <w:lang w:val="en-US" w:eastAsia="zh-CN"/>
        </w:rPr>
        <w:t>执行</w:t>
      </w:r>
      <w:r>
        <w:rPr>
          <w:rFonts w:hint="eastAsia"/>
        </w:rPr>
        <w:t>董事以及管理层的决策等事项产生重大影响。若其利用对公司的实际控制权，对公司的经营决策、人事、财务等进行不当控制，未来可能会损害公司和中小股东的利益。</w:t>
      </w:r>
    </w:p>
    <w:p>
      <w:pPr>
        <w:bidi w:val="0"/>
        <w:rPr>
          <w:rFonts w:hint="eastAsia"/>
          <w:lang w:eastAsia="zh-CN"/>
        </w:rPr>
      </w:pPr>
      <w:r>
        <w:rPr>
          <w:rFonts w:hint="eastAsia"/>
          <w:lang w:eastAsia="zh-CN"/>
        </w:rPr>
        <w:t>针对上述风险，公司将进一步完善法人治理结构，严格按照</w:t>
      </w:r>
      <w:r>
        <w:rPr>
          <w:rFonts w:hint="eastAsia"/>
          <w:lang w:val="en-US" w:eastAsia="zh-CN"/>
        </w:rPr>
        <w:t>挂牌</w:t>
      </w:r>
      <w:r>
        <w:rPr>
          <w:rFonts w:hint="eastAsia"/>
          <w:lang w:eastAsia="zh-CN"/>
        </w:rPr>
        <w:t>公司的要求及齐鲁股权交易中心的信息披露规则加强内部管理，及时履行信息披露义务。</w:t>
      </w:r>
    </w:p>
    <w:p>
      <w:pPr>
        <w:pStyle w:val="2"/>
        <w:rPr>
          <w:rFonts w:hint="eastAsia"/>
          <w:lang w:eastAsia="zh-CN"/>
        </w:rPr>
      </w:pPr>
    </w:p>
    <w:p>
      <w:pPr>
        <w:pStyle w:val="4"/>
        <w:bidi w:val="0"/>
        <w:rPr>
          <w:rFonts w:hint="eastAsia"/>
        </w:rPr>
      </w:pPr>
      <w:bookmarkStart w:id="45" w:name="_Toc4285"/>
      <w:r>
        <w:rPr>
          <w:rFonts w:hint="eastAsia"/>
        </w:rPr>
        <w:t>二、重大事项提示</w:t>
      </w:r>
      <w:bookmarkEnd w:id="45"/>
    </w:p>
    <w:p>
      <w:pPr>
        <w:pStyle w:val="5"/>
        <w:bidi w:val="0"/>
        <w:rPr>
          <w:rFonts w:hint="eastAsia"/>
        </w:rPr>
      </w:pPr>
      <w:r>
        <w:rPr>
          <w:rFonts w:hint="eastAsia"/>
          <w:lang w:eastAsia="zh-CN"/>
        </w:rPr>
        <w:t>（一）</w:t>
      </w:r>
      <w:r>
        <w:rPr>
          <w:rFonts w:hint="eastAsia"/>
        </w:rPr>
        <w:t>股东关于自愿锁定股权的承诺</w:t>
      </w:r>
    </w:p>
    <w:p>
      <w:pPr>
        <w:bidi w:val="0"/>
        <w:rPr>
          <w:rFonts w:hint="eastAsia"/>
          <w:lang w:val="en-US" w:eastAsia="zh-CN"/>
        </w:rPr>
      </w:pPr>
      <w:r>
        <w:rPr>
          <w:rFonts w:hint="eastAsia"/>
          <w:lang w:val="en-US" w:eastAsia="zh-CN"/>
        </w:rPr>
        <w:t>公司股东范华新、吕英承诺，公司股权在齐鲁股权挂牌后12个月内不转让或委托他人管理所持有的公司股权。</w:t>
      </w:r>
    </w:p>
    <w:p>
      <w:pPr>
        <w:pStyle w:val="5"/>
        <w:bidi w:val="0"/>
        <w:rPr>
          <w:rFonts w:hint="eastAsia"/>
        </w:rPr>
      </w:pPr>
      <w:r>
        <w:rPr>
          <w:rFonts w:hint="eastAsia"/>
          <w:lang w:eastAsia="zh-CN"/>
        </w:rPr>
        <w:t>（二）</w:t>
      </w:r>
      <w:r>
        <w:rPr>
          <w:rFonts w:hint="eastAsia"/>
        </w:rPr>
        <w:t>股利分配政策</w:t>
      </w:r>
    </w:p>
    <w:p>
      <w:pPr>
        <w:bidi w:val="0"/>
        <w:rPr>
          <w:rFonts w:hint="default"/>
          <w:lang w:val="en-US" w:eastAsia="zh-CN"/>
        </w:rPr>
      </w:pPr>
      <w:r>
        <w:rPr>
          <w:rFonts w:hint="eastAsia"/>
          <w:lang w:val="en-US" w:eastAsia="zh-CN"/>
        </w:rPr>
        <w:t>公司股利分配政策如下：</w:t>
      </w:r>
    </w:p>
    <w:p>
      <w:pPr>
        <w:rPr>
          <w:rFonts w:hint="eastAsia"/>
          <w:lang w:val="en-US" w:eastAsia="zh-CN"/>
        </w:rPr>
      </w:pPr>
      <w:r>
        <w:rPr>
          <w:rFonts w:hint="eastAsia"/>
          <w:lang w:val="en-US" w:eastAsia="zh-CN"/>
        </w:rPr>
        <w:t>公司《章程》第三十七条规定：</w:t>
      </w:r>
    </w:p>
    <w:p>
      <w:pPr>
        <w:rPr>
          <w:rFonts w:hint="default"/>
          <w:lang w:val="en-US" w:eastAsia="zh-CN"/>
        </w:rPr>
      </w:pPr>
      <w:r>
        <w:rPr>
          <w:rFonts w:hint="eastAsia"/>
          <w:lang w:val="en-US" w:eastAsia="zh-CN"/>
        </w:rPr>
        <w:t>公司分配当年税后利润时，应当提取利润的百分之十列入公司法定公积金。公司法定公积金累计额超过了公司注册资本的百分之五十后，可不再提取。</w:t>
      </w:r>
    </w:p>
    <w:p>
      <w:pPr>
        <w:rPr>
          <w:rFonts w:hint="eastAsia"/>
          <w:lang w:val="en-US" w:eastAsia="zh-CN"/>
        </w:rPr>
      </w:pPr>
      <w:r>
        <w:rPr>
          <w:rFonts w:hint="eastAsia"/>
          <w:lang w:val="en-US" w:eastAsia="zh-CN"/>
        </w:rPr>
        <w:t>公司法定公积金不足以弥补上一年度公司亏损的，在依照前款规定提取法定公积金和法定公益金之前，应当先用当年利润弥补亏损。</w:t>
      </w:r>
    </w:p>
    <w:p>
      <w:pPr>
        <w:rPr>
          <w:rFonts w:hint="default"/>
          <w:lang w:val="en-US" w:eastAsia="zh-CN"/>
        </w:rPr>
      </w:pPr>
      <w:r>
        <w:rPr>
          <w:rFonts w:hint="eastAsia"/>
          <w:lang w:val="en-US" w:eastAsia="zh-CN"/>
        </w:rPr>
        <w:t>公司在从税后利润中提取法定公积金、法定公益金后所剩利润，按照股东的出资比例分配。</w:t>
      </w:r>
    </w:p>
    <w:p>
      <w:pPr>
        <w:rPr>
          <w:rFonts w:hint="eastAsia"/>
        </w:rPr>
      </w:pPr>
      <w:r>
        <w:rPr>
          <w:rFonts w:hint="eastAsia"/>
        </w:rPr>
        <w:br w:type="page"/>
      </w:r>
    </w:p>
    <w:p>
      <w:pPr>
        <w:pStyle w:val="3"/>
        <w:bidi w:val="0"/>
        <w:ind w:left="0" w:leftChars="0" w:firstLine="0" w:firstLineChars="0"/>
        <w:jc w:val="center"/>
        <w:rPr>
          <w:rFonts w:hint="eastAsia"/>
        </w:rPr>
      </w:pPr>
      <w:bookmarkStart w:id="46" w:name="_Toc25859"/>
      <w:r>
        <w:rPr>
          <w:rFonts w:hint="eastAsia"/>
        </w:rPr>
        <w:t>第二章  基本情况</w:t>
      </w:r>
      <w:bookmarkEnd w:id="46"/>
    </w:p>
    <w:p>
      <w:pPr>
        <w:pStyle w:val="4"/>
        <w:bidi w:val="0"/>
        <w:ind w:left="0" w:leftChars="0" w:firstLine="0" w:firstLineChars="0"/>
        <w:rPr>
          <w:rFonts w:hint="eastAsia"/>
        </w:rPr>
      </w:pPr>
      <w:bookmarkStart w:id="47" w:name="_Toc21956"/>
      <w:r>
        <w:rPr>
          <w:rFonts w:hint="eastAsia"/>
        </w:rPr>
        <w:t>一、公司基本情况</w:t>
      </w:r>
      <w:bookmarkEnd w:id="47"/>
    </w:p>
    <w:p>
      <w:pPr>
        <w:bidi w:val="0"/>
        <w:rPr>
          <w:rFonts w:hint="eastAsia"/>
          <w:lang w:eastAsia="zh-CN"/>
        </w:rPr>
      </w:pPr>
      <w:r>
        <w:rPr>
          <w:rFonts w:hint="eastAsia"/>
          <w:lang w:val="en-US" w:eastAsia="zh-CN"/>
        </w:rPr>
        <w:t>1、</w:t>
      </w:r>
      <w:r>
        <w:rPr>
          <w:rFonts w:hint="eastAsia"/>
        </w:rPr>
        <w:t>公司名称</w:t>
      </w:r>
      <w:r>
        <w:rPr>
          <w:rFonts w:hint="eastAsia"/>
          <w:lang w:eastAsia="zh-CN"/>
        </w:rPr>
        <w:t>：龙口市龙金花植物油有限公司</w:t>
      </w:r>
    </w:p>
    <w:p>
      <w:pPr>
        <w:bidi w:val="0"/>
        <w:rPr>
          <w:rFonts w:hint="default"/>
          <w:lang w:val="en-US" w:eastAsia="zh-CN"/>
        </w:rPr>
      </w:pPr>
      <w:r>
        <w:rPr>
          <w:rFonts w:hint="eastAsia"/>
          <w:lang w:val="en-US" w:eastAsia="zh-CN"/>
        </w:rPr>
        <w:t>2、</w:t>
      </w:r>
      <w:r>
        <w:rPr>
          <w:rFonts w:hint="eastAsia"/>
        </w:rPr>
        <w:t>法定代表人</w:t>
      </w:r>
      <w:r>
        <w:rPr>
          <w:rFonts w:hint="eastAsia"/>
          <w:lang w:eastAsia="zh-CN"/>
        </w:rPr>
        <w:t>：</w:t>
      </w:r>
      <w:r>
        <w:rPr>
          <w:rFonts w:hint="eastAsia"/>
          <w:lang w:val="en-US" w:eastAsia="zh-CN"/>
        </w:rPr>
        <w:t>范华新</w:t>
      </w:r>
    </w:p>
    <w:p>
      <w:pPr>
        <w:bidi w:val="0"/>
        <w:rPr>
          <w:rFonts w:hint="eastAsia"/>
          <w:lang w:eastAsia="zh-CN"/>
        </w:rPr>
      </w:pPr>
      <w:r>
        <w:rPr>
          <w:rFonts w:hint="eastAsia"/>
          <w:lang w:val="en-US" w:eastAsia="zh-CN"/>
        </w:rPr>
        <w:t>3、</w:t>
      </w:r>
      <w:r>
        <w:rPr>
          <w:rFonts w:hint="eastAsia"/>
        </w:rPr>
        <w:t>统一社会信用代码</w:t>
      </w:r>
      <w:r>
        <w:rPr>
          <w:rFonts w:hint="eastAsia"/>
          <w:lang w:eastAsia="zh-CN"/>
        </w:rPr>
        <w:t>：91370681673175745B</w:t>
      </w:r>
    </w:p>
    <w:p>
      <w:pPr>
        <w:bidi w:val="0"/>
        <w:rPr>
          <w:rFonts w:hint="default"/>
          <w:lang w:val="en-US" w:eastAsia="zh-CN"/>
        </w:rPr>
      </w:pPr>
      <w:r>
        <w:rPr>
          <w:rFonts w:hint="eastAsia"/>
          <w:lang w:val="en-US" w:eastAsia="zh-CN"/>
        </w:rPr>
        <w:t>4、</w:t>
      </w:r>
      <w:r>
        <w:rPr>
          <w:rFonts w:hint="eastAsia"/>
        </w:rPr>
        <w:t>设立日期</w:t>
      </w:r>
      <w:r>
        <w:rPr>
          <w:rFonts w:hint="eastAsia"/>
          <w:lang w:eastAsia="zh-CN"/>
        </w:rPr>
        <w:t>：20</w:t>
      </w:r>
      <w:r>
        <w:rPr>
          <w:rFonts w:hint="eastAsia"/>
          <w:lang w:val="en-US" w:eastAsia="zh-CN"/>
        </w:rPr>
        <w:t>08年3月31日</w:t>
      </w:r>
    </w:p>
    <w:p>
      <w:pPr>
        <w:bidi w:val="0"/>
        <w:rPr>
          <w:rFonts w:hint="eastAsia"/>
          <w:lang w:eastAsia="zh-CN"/>
        </w:rPr>
      </w:pPr>
      <w:r>
        <w:rPr>
          <w:rFonts w:hint="eastAsia"/>
          <w:lang w:val="en-US" w:eastAsia="zh-CN"/>
        </w:rPr>
        <w:t>5、</w:t>
      </w:r>
      <w:r>
        <w:rPr>
          <w:rFonts w:hint="eastAsia"/>
        </w:rPr>
        <w:t>注册资本</w:t>
      </w:r>
      <w:r>
        <w:rPr>
          <w:rFonts w:hint="eastAsia"/>
          <w:lang w:eastAsia="zh-CN"/>
        </w:rPr>
        <w:t>：</w:t>
      </w:r>
      <w:r>
        <w:rPr>
          <w:rFonts w:hint="eastAsia"/>
          <w:lang w:val="en-US" w:eastAsia="zh-CN"/>
        </w:rPr>
        <w:t>200</w:t>
      </w:r>
      <w:r>
        <w:rPr>
          <w:rFonts w:hint="eastAsia"/>
          <w:lang w:eastAsia="zh-CN"/>
        </w:rPr>
        <w:t>万人民币</w:t>
      </w:r>
    </w:p>
    <w:p>
      <w:pPr>
        <w:bidi w:val="0"/>
        <w:rPr>
          <w:rFonts w:hint="eastAsia"/>
          <w:highlight w:val="none"/>
          <w:lang w:eastAsia="zh-CN"/>
        </w:rPr>
      </w:pPr>
      <w:r>
        <w:rPr>
          <w:rFonts w:hint="eastAsia"/>
          <w:highlight w:val="none"/>
          <w:lang w:val="en-US" w:eastAsia="zh-CN"/>
        </w:rPr>
        <w:t>6、</w:t>
      </w:r>
      <w:r>
        <w:rPr>
          <w:rFonts w:hint="eastAsia"/>
          <w:highlight w:val="none"/>
        </w:rPr>
        <w:t>实收资本</w:t>
      </w:r>
      <w:r>
        <w:rPr>
          <w:rFonts w:hint="eastAsia"/>
          <w:highlight w:val="none"/>
          <w:lang w:eastAsia="zh-CN"/>
        </w:rPr>
        <w:t>：</w:t>
      </w:r>
      <w:r>
        <w:rPr>
          <w:rFonts w:hint="eastAsia"/>
          <w:highlight w:val="none"/>
          <w:lang w:val="en-US" w:eastAsia="zh-CN"/>
        </w:rPr>
        <w:t>200</w:t>
      </w:r>
      <w:r>
        <w:rPr>
          <w:rFonts w:hint="eastAsia"/>
          <w:highlight w:val="none"/>
          <w:lang w:eastAsia="zh-CN"/>
        </w:rPr>
        <w:t>万人民币</w:t>
      </w:r>
    </w:p>
    <w:p>
      <w:pPr>
        <w:bidi w:val="0"/>
        <w:rPr>
          <w:rFonts w:hint="eastAsia"/>
          <w:lang w:eastAsia="zh-CN"/>
        </w:rPr>
      </w:pPr>
      <w:r>
        <w:rPr>
          <w:rFonts w:hint="eastAsia"/>
          <w:lang w:val="en-US" w:eastAsia="zh-CN"/>
        </w:rPr>
        <w:t>7、</w:t>
      </w:r>
      <w:r>
        <w:rPr>
          <w:rFonts w:hint="eastAsia"/>
        </w:rPr>
        <w:t>住所</w:t>
      </w:r>
      <w:r>
        <w:rPr>
          <w:rFonts w:hint="eastAsia"/>
          <w:lang w:eastAsia="zh-CN"/>
        </w:rPr>
        <w:t>：山东省龙口市龙港街道中村264省道路南</w:t>
      </w:r>
    </w:p>
    <w:p>
      <w:pPr>
        <w:bidi w:val="0"/>
        <w:rPr>
          <w:rFonts w:hint="eastAsia"/>
          <w:lang w:eastAsia="zh-CN"/>
        </w:rPr>
      </w:pPr>
      <w:r>
        <w:rPr>
          <w:rFonts w:hint="eastAsia"/>
          <w:lang w:val="en-US" w:eastAsia="zh-CN"/>
        </w:rPr>
        <w:t>8、</w:t>
      </w:r>
      <w:r>
        <w:rPr>
          <w:rFonts w:hint="eastAsia"/>
        </w:rPr>
        <w:t>邮编</w:t>
      </w:r>
      <w:r>
        <w:rPr>
          <w:rFonts w:hint="eastAsia"/>
          <w:lang w:eastAsia="zh-CN"/>
        </w:rPr>
        <w:t>：265703</w:t>
      </w:r>
    </w:p>
    <w:p>
      <w:pPr>
        <w:bidi w:val="0"/>
        <w:rPr>
          <w:rFonts w:hint="default"/>
          <w:highlight w:val="none"/>
          <w:lang w:val="en-US" w:eastAsia="zh-CN"/>
        </w:rPr>
      </w:pPr>
      <w:r>
        <w:rPr>
          <w:rFonts w:hint="eastAsia"/>
          <w:highlight w:val="none"/>
          <w:lang w:val="en-US" w:eastAsia="zh-CN"/>
        </w:rPr>
        <w:t>9、</w:t>
      </w:r>
      <w:r>
        <w:rPr>
          <w:rFonts w:hint="eastAsia"/>
          <w:highlight w:val="none"/>
        </w:rPr>
        <w:t>信息披露事务负责人</w:t>
      </w:r>
      <w:r>
        <w:rPr>
          <w:rFonts w:hint="eastAsia"/>
          <w:highlight w:val="none"/>
          <w:lang w:eastAsia="zh-CN"/>
        </w:rPr>
        <w:t>：</w:t>
      </w:r>
      <w:r>
        <w:rPr>
          <w:rFonts w:hint="eastAsia"/>
          <w:highlight w:val="none"/>
          <w:lang w:val="en-US" w:eastAsia="zh-CN"/>
        </w:rPr>
        <w:t>王丹</w:t>
      </w:r>
    </w:p>
    <w:p>
      <w:pPr>
        <w:bidi w:val="0"/>
        <w:rPr>
          <w:rFonts w:hint="eastAsia"/>
          <w:lang w:val="en-US" w:eastAsia="zh-CN"/>
        </w:rPr>
      </w:pPr>
      <w:r>
        <w:rPr>
          <w:rFonts w:hint="eastAsia"/>
          <w:lang w:val="en-US" w:eastAsia="zh-CN"/>
        </w:rPr>
        <w:t>10、经营范围：花生油（GB1534)、大豆油（GB1535)、玉米油（GB19111)、食用调和油（SB/T10292)、花生粕加工、销售及进出口业务；花生米销售及进出口业务（国家禁止或涉及行政审批的货物和技术进出口除外)；花生蛋白粉的生产、销售；散装和预包装食品的批发、零售。（依法须经批准的项目，经相关部门批准后方可开展经营活动）</w:t>
      </w:r>
    </w:p>
    <w:p>
      <w:pPr>
        <w:bidi w:val="0"/>
        <w:rPr>
          <w:rFonts w:hint="eastAsia"/>
          <w:lang w:eastAsia="zh-CN"/>
        </w:rPr>
      </w:pPr>
      <w:r>
        <w:rPr>
          <w:rFonts w:hint="eastAsia"/>
          <w:lang w:val="en-US" w:eastAsia="zh-CN"/>
        </w:rPr>
        <w:t>11、</w:t>
      </w:r>
      <w:r>
        <w:rPr>
          <w:rFonts w:hint="eastAsia"/>
        </w:rPr>
        <w:t>本次挂牌相关机构</w:t>
      </w:r>
      <w:r>
        <w:rPr>
          <w:rFonts w:hint="eastAsia"/>
          <w:lang w:eastAsia="zh-CN"/>
        </w:rPr>
        <w:t>：</w:t>
      </w:r>
    </w:p>
    <w:p>
      <w:pPr>
        <w:bidi w:val="0"/>
        <w:rPr>
          <w:rFonts w:hint="eastAsia"/>
          <w:lang w:val="en-US" w:eastAsia="zh-CN"/>
        </w:rPr>
      </w:pPr>
      <w:r>
        <w:rPr>
          <w:rFonts w:hint="eastAsia"/>
          <w:lang w:val="en-US" w:eastAsia="zh-CN"/>
        </w:rPr>
        <w:t>（1）推荐机构</w:t>
      </w:r>
    </w:p>
    <w:p>
      <w:pPr>
        <w:bidi w:val="0"/>
        <w:rPr>
          <w:rFonts w:hint="eastAsia" w:eastAsia="宋体"/>
          <w:lang w:eastAsia="zh-CN"/>
        </w:rPr>
      </w:pPr>
      <w:r>
        <w:rPr>
          <w:rFonts w:hint="eastAsia"/>
        </w:rPr>
        <w:t>名    称：</w:t>
      </w:r>
      <w:r>
        <w:rPr>
          <w:rFonts w:hint="eastAsia"/>
          <w:lang w:eastAsia="zh-CN"/>
        </w:rPr>
        <w:t>山东紫金中永股权投资管理有限公司</w:t>
      </w:r>
    </w:p>
    <w:p>
      <w:pPr>
        <w:bidi w:val="0"/>
        <w:rPr>
          <w:rFonts w:hint="eastAsia"/>
        </w:rPr>
      </w:pPr>
      <w:r>
        <w:rPr>
          <w:rFonts w:hint="eastAsia"/>
        </w:rPr>
        <w:t>办公地址：济南市历下区工业南路59号中铁财智中心4号楼2401</w:t>
      </w:r>
    </w:p>
    <w:p>
      <w:pPr>
        <w:bidi w:val="0"/>
        <w:rPr>
          <w:rFonts w:hint="eastAsia"/>
        </w:rPr>
      </w:pPr>
      <w:r>
        <w:rPr>
          <w:rFonts w:hint="eastAsia"/>
        </w:rPr>
        <w:t>法定代表人（负责人）：杨子家</w:t>
      </w:r>
    </w:p>
    <w:p>
      <w:pPr>
        <w:bidi w:val="0"/>
        <w:rPr>
          <w:rFonts w:hint="eastAsia"/>
          <w:lang w:eastAsia="zh-CN"/>
        </w:rPr>
      </w:pPr>
      <w:r>
        <w:rPr>
          <w:rFonts w:hint="eastAsia"/>
        </w:rPr>
        <w:t>经办人：时永恒</w:t>
      </w:r>
      <w:r>
        <w:rPr>
          <w:rFonts w:hint="eastAsia"/>
          <w:lang w:eastAsia="zh-CN"/>
        </w:rPr>
        <w:t>、范磊</w:t>
      </w:r>
    </w:p>
    <w:p>
      <w:pPr>
        <w:bidi w:val="0"/>
        <w:rPr>
          <w:rFonts w:hint="eastAsia"/>
          <w:lang w:val="en-US" w:eastAsia="zh-CN"/>
        </w:rPr>
      </w:pPr>
      <w:r>
        <w:rPr>
          <w:rFonts w:hint="eastAsia"/>
        </w:rPr>
        <w:t>电    话：</w:t>
      </w:r>
      <w:r>
        <w:rPr>
          <w:rFonts w:hint="eastAsia"/>
          <w:lang w:val="en-US" w:eastAsia="zh-CN"/>
        </w:rPr>
        <w:t>0531-88699890</w:t>
      </w:r>
    </w:p>
    <w:p>
      <w:pPr>
        <w:bidi w:val="0"/>
        <w:rPr>
          <w:rFonts w:hint="eastAsia"/>
          <w:lang w:val="en-US" w:eastAsia="zh-CN"/>
        </w:rPr>
      </w:pPr>
      <w:r>
        <w:rPr>
          <w:rFonts w:hint="eastAsia"/>
          <w:lang w:val="en-US" w:eastAsia="zh-CN"/>
        </w:rPr>
        <w:t>传    真：0531-88699890</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审计机构</w:t>
      </w:r>
    </w:p>
    <w:p>
      <w:pPr>
        <w:bidi w:val="0"/>
        <w:rPr>
          <w:rFonts w:hint="eastAsia" w:eastAsia="宋体"/>
          <w:lang w:eastAsia="zh-CN"/>
        </w:rPr>
      </w:pPr>
      <w:r>
        <w:rPr>
          <w:rFonts w:hint="eastAsia"/>
        </w:rPr>
        <w:t>名    称：</w:t>
      </w:r>
      <w:r>
        <w:rPr>
          <w:rFonts w:hint="eastAsia"/>
          <w:lang w:eastAsia="zh-CN"/>
        </w:rPr>
        <w:t>山东新天地会计师事务所有限公司</w:t>
      </w:r>
    </w:p>
    <w:p>
      <w:pPr>
        <w:bidi w:val="0"/>
        <w:rPr>
          <w:rFonts w:hint="eastAsia" w:eastAsia="宋体"/>
          <w:lang w:eastAsia="zh-CN"/>
        </w:rPr>
      </w:pPr>
      <w:r>
        <w:rPr>
          <w:rFonts w:hint="eastAsia"/>
        </w:rPr>
        <w:t>办公地址：山东省济南市历城区花园路168号二建融基大厦2407室</w:t>
      </w:r>
    </w:p>
    <w:p>
      <w:pPr>
        <w:bidi w:val="0"/>
        <w:rPr>
          <w:rFonts w:hint="default" w:eastAsia="宋体"/>
          <w:lang w:val="en-US" w:eastAsia="zh-CN"/>
        </w:rPr>
      </w:pPr>
      <w:r>
        <w:rPr>
          <w:rFonts w:hint="eastAsia"/>
        </w:rPr>
        <w:t>负责人：</w:t>
      </w:r>
      <w:r>
        <w:rPr>
          <w:rFonts w:hint="eastAsia"/>
          <w:lang w:eastAsia="zh-CN"/>
        </w:rPr>
        <w:t>段中明</w:t>
      </w:r>
    </w:p>
    <w:p>
      <w:pPr>
        <w:bidi w:val="0"/>
        <w:rPr>
          <w:rFonts w:hint="eastAsia" w:eastAsia="宋体"/>
          <w:lang w:eastAsia="zh-CN"/>
        </w:rPr>
      </w:pPr>
      <w:r>
        <w:rPr>
          <w:rFonts w:hint="eastAsia"/>
        </w:rPr>
        <w:t>经办注册会</w:t>
      </w:r>
      <w:r>
        <w:rPr>
          <w:rFonts w:hint="eastAsia"/>
          <w:highlight w:val="none"/>
        </w:rPr>
        <w:t>计师：</w:t>
      </w:r>
      <w:r>
        <w:rPr>
          <w:rFonts w:hint="eastAsia"/>
          <w:highlight w:val="none"/>
          <w:lang w:eastAsia="zh-CN"/>
        </w:rPr>
        <w:t>马奎志、赵健</w:t>
      </w:r>
    </w:p>
    <w:p>
      <w:pPr>
        <w:shd w:val="clear"/>
        <w:bidi w:val="0"/>
        <w:rPr>
          <w:rFonts w:hint="default" w:eastAsia="宋体"/>
          <w:lang w:val="en-US" w:eastAsia="zh-CN"/>
        </w:rPr>
      </w:pPr>
      <w:r>
        <w:rPr>
          <w:rFonts w:hint="eastAsia"/>
        </w:rPr>
        <w:t>电    话：0531-88910958</w:t>
      </w:r>
    </w:p>
    <w:p>
      <w:pPr>
        <w:shd w:val="clear"/>
        <w:bidi w:val="0"/>
        <w:rPr>
          <w:rFonts w:hint="eastAsia"/>
        </w:rPr>
      </w:pPr>
      <w:r>
        <w:rPr>
          <w:rFonts w:hint="eastAsia"/>
        </w:rPr>
        <w:t>传    真：0531-88910958</w:t>
      </w:r>
    </w:p>
    <w:p>
      <w:pPr>
        <w:bidi w:val="0"/>
        <w:rPr>
          <w:rFonts w:hint="eastAsia"/>
        </w:rPr>
      </w:pPr>
      <w:r>
        <w:rPr>
          <w:rFonts w:hint="eastAsia"/>
          <w:lang w:val="en-US" w:eastAsia="zh-CN"/>
        </w:rPr>
        <w:t>（3）</w:t>
      </w:r>
      <w:r>
        <w:rPr>
          <w:rFonts w:hint="eastAsia"/>
        </w:rPr>
        <w:t>挂牌的股权交易机构</w:t>
      </w:r>
    </w:p>
    <w:p>
      <w:pPr>
        <w:bidi w:val="0"/>
        <w:rPr>
          <w:rFonts w:hint="eastAsia"/>
        </w:rPr>
      </w:pPr>
      <w:r>
        <w:rPr>
          <w:rFonts w:hint="eastAsia"/>
        </w:rPr>
        <w:t>名    称：齐鲁股权交易中心有限公司</w:t>
      </w:r>
    </w:p>
    <w:p>
      <w:pPr>
        <w:bidi w:val="0"/>
        <w:rPr>
          <w:rFonts w:hint="eastAsia"/>
        </w:rPr>
      </w:pPr>
      <w:r>
        <w:rPr>
          <w:rFonts w:hint="eastAsia"/>
        </w:rPr>
        <w:t>注册地址：山东省淄博市张店区人民西路228号金融大厦3、4、20、21、22层</w:t>
      </w:r>
    </w:p>
    <w:p>
      <w:pPr>
        <w:bidi w:val="0"/>
        <w:rPr>
          <w:rFonts w:hint="eastAsia"/>
        </w:rPr>
      </w:pPr>
      <w:r>
        <w:rPr>
          <w:rFonts w:hint="eastAsia"/>
        </w:rPr>
        <w:t>电    话：0533-2770150</w:t>
      </w:r>
    </w:p>
    <w:p>
      <w:pPr>
        <w:bidi w:val="0"/>
        <w:rPr>
          <w:rFonts w:hint="eastAsia"/>
        </w:rPr>
      </w:pPr>
      <w:r>
        <w:rPr>
          <w:rFonts w:hint="eastAsia"/>
        </w:rPr>
        <w:t>传    真：0533-2770150</w:t>
      </w:r>
    </w:p>
    <w:p>
      <w:pPr>
        <w:bidi w:val="0"/>
        <w:rPr>
          <w:rFonts w:hint="eastAsia"/>
        </w:rPr>
      </w:pPr>
      <w:r>
        <w:rPr>
          <w:rFonts w:hint="eastAsia"/>
          <w:lang w:val="en-US" w:eastAsia="zh-CN"/>
        </w:rPr>
        <w:t>（4）</w:t>
      </w:r>
      <w:r>
        <w:rPr>
          <w:rFonts w:hint="eastAsia"/>
        </w:rPr>
        <w:t>股权登记托管机构</w:t>
      </w:r>
    </w:p>
    <w:p>
      <w:pPr>
        <w:bidi w:val="0"/>
        <w:rPr>
          <w:rFonts w:hint="eastAsia"/>
        </w:rPr>
      </w:pPr>
      <w:r>
        <w:rPr>
          <w:rFonts w:hint="eastAsia"/>
        </w:rPr>
        <w:t>名    称：齐鲁股权交易中心有限公司</w:t>
      </w:r>
    </w:p>
    <w:p>
      <w:pPr>
        <w:bidi w:val="0"/>
        <w:rPr>
          <w:rFonts w:hint="eastAsia"/>
        </w:rPr>
      </w:pPr>
      <w:r>
        <w:rPr>
          <w:rFonts w:hint="eastAsia"/>
        </w:rPr>
        <w:t>注册地址：山东省淄博市张店区人民西路228号金融大厦3、4、20、21、22层</w:t>
      </w:r>
    </w:p>
    <w:p>
      <w:pPr>
        <w:bidi w:val="0"/>
        <w:rPr>
          <w:rFonts w:hint="eastAsia"/>
        </w:rPr>
      </w:pPr>
      <w:r>
        <w:rPr>
          <w:rFonts w:hint="eastAsia"/>
        </w:rPr>
        <w:t>电    话：0533-2773233</w:t>
      </w:r>
    </w:p>
    <w:p>
      <w:pPr>
        <w:bidi w:val="0"/>
        <w:rPr>
          <w:rFonts w:hint="eastAsia"/>
        </w:rPr>
      </w:pPr>
      <w:r>
        <w:rPr>
          <w:rFonts w:hint="eastAsia"/>
        </w:rPr>
        <w:t>传    真：0533-2773233</w:t>
      </w:r>
    </w:p>
    <w:p>
      <w:pPr>
        <w:rPr>
          <w:rFonts w:hint="eastAsia"/>
          <w:lang w:eastAsia="zh-CN"/>
        </w:rPr>
      </w:pPr>
      <w:r>
        <w:rPr>
          <w:rFonts w:hint="eastAsia"/>
          <w:lang w:eastAsia="zh-CN"/>
        </w:rPr>
        <w:br w:type="page"/>
      </w:r>
    </w:p>
    <w:p>
      <w:pPr>
        <w:pStyle w:val="4"/>
        <w:numPr>
          <w:ilvl w:val="0"/>
          <w:numId w:val="0"/>
        </w:numPr>
        <w:bidi w:val="0"/>
        <w:ind w:leftChars="0"/>
        <w:rPr>
          <w:rFonts w:hint="eastAsia"/>
        </w:rPr>
      </w:pPr>
      <w:bookmarkStart w:id="48" w:name="_Toc14131"/>
      <w:r>
        <w:rPr>
          <w:rFonts w:hint="eastAsia"/>
          <w:lang w:val="en-US" w:eastAsia="zh-CN"/>
        </w:rPr>
        <w:t>二</w:t>
      </w:r>
      <w:r>
        <w:rPr>
          <w:rFonts w:hint="eastAsia"/>
          <w:lang w:eastAsia="zh-CN"/>
        </w:rPr>
        <w:t>、</w:t>
      </w:r>
      <w:r>
        <w:rPr>
          <w:rFonts w:hint="eastAsia"/>
        </w:rPr>
        <w:t>公司目前股权结构及股东情况</w:t>
      </w:r>
      <w:bookmarkEnd w:id="48"/>
    </w:p>
    <w:p>
      <w:pPr>
        <w:pStyle w:val="5"/>
        <w:bidi w:val="0"/>
        <w:rPr>
          <w:rFonts w:hint="eastAsia"/>
        </w:rPr>
      </w:pPr>
      <w:bookmarkStart w:id="49" w:name="_Toc228433056"/>
      <w:bookmarkStart w:id="50" w:name="_Toc228431325"/>
      <w:bookmarkStart w:id="51" w:name="_Toc228505923"/>
      <w:bookmarkStart w:id="52" w:name="_Toc229469622"/>
      <w:r>
        <w:rPr>
          <w:rFonts w:hint="eastAsia"/>
        </w:rPr>
        <w:t>（一）股权结构</w:t>
      </w:r>
      <w:bookmarkEnd w:id="49"/>
      <w:bookmarkEnd w:id="50"/>
      <w:bookmarkEnd w:id="51"/>
      <w:bookmarkEnd w:id="52"/>
      <w:r>
        <w:rPr>
          <w:rFonts w:hint="eastAsia"/>
        </w:rPr>
        <w:t>图</w:t>
      </w:r>
    </w:p>
    <w:p>
      <w:pPr>
        <w:numPr>
          <w:ilvl w:val="0"/>
          <w:numId w:val="0"/>
        </w:numPr>
        <w:ind w:leftChars="0"/>
        <w:jc w:val="center"/>
      </w:pPr>
      <w:r>
        <w:drawing>
          <wp:inline distT="0" distB="0" distL="114300" distR="114300">
            <wp:extent cx="4778375" cy="1920240"/>
            <wp:effectExtent l="0" t="0" r="698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4778375" cy="1920240"/>
                    </a:xfrm>
                    <a:prstGeom prst="rect">
                      <a:avLst/>
                    </a:prstGeom>
                    <a:noFill/>
                    <a:ln>
                      <a:noFill/>
                    </a:ln>
                  </pic:spPr>
                </pic:pic>
              </a:graphicData>
            </a:graphic>
          </wp:inline>
        </w:drawing>
      </w:r>
    </w:p>
    <w:p>
      <w:pPr>
        <w:pStyle w:val="5"/>
        <w:bidi w:val="0"/>
        <w:rPr>
          <w:rFonts w:hint="eastAsia"/>
        </w:rPr>
      </w:pPr>
      <w:r>
        <w:rPr>
          <w:rFonts w:hint="eastAsia"/>
        </w:rPr>
        <w:t>（二）公司控股股东、实际控制人情况</w:t>
      </w:r>
    </w:p>
    <w:p>
      <w:pPr>
        <w:bidi w:val="0"/>
        <w:rPr>
          <w:rFonts w:hint="eastAsia"/>
          <w:lang w:val="en-US" w:eastAsia="zh-CN"/>
        </w:rPr>
      </w:pPr>
      <w:r>
        <w:rPr>
          <w:rFonts w:hint="eastAsia"/>
        </w:rPr>
        <w:t>截至本挂牌转让说明书签署之日，根据公司股权构成显示，</w:t>
      </w:r>
      <w:r>
        <w:rPr>
          <w:rFonts w:hint="eastAsia"/>
          <w:lang w:val="en-US" w:eastAsia="zh-CN"/>
        </w:rPr>
        <w:t>范华新</w:t>
      </w:r>
      <w:r>
        <w:rPr>
          <w:rFonts w:hint="eastAsia"/>
        </w:rPr>
        <w:t>直接持有公司</w:t>
      </w:r>
      <w:r>
        <w:rPr>
          <w:rFonts w:hint="eastAsia"/>
          <w:lang w:val="en-US" w:eastAsia="zh-CN"/>
        </w:rPr>
        <w:t>60</w:t>
      </w:r>
      <w:r>
        <w:rPr>
          <w:rFonts w:hint="eastAsia"/>
        </w:rPr>
        <w:t>.00%的股份，依其持有的股份所享有的表决权已足以对股东会的决议产生重大影响</w:t>
      </w:r>
      <w:r>
        <w:rPr>
          <w:rFonts w:hint="eastAsia"/>
          <w:lang w:eastAsia="zh-CN"/>
        </w:rPr>
        <w:t>，</w:t>
      </w:r>
      <w:r>
        <w:rPr>
          <w:rFonts w:hint="eastAsia"/>
          <w:lang w:val="en-US" w:eastAsia="zh-CN"/>
        </w:rPr>
        <w:t>因此范华新系控股股东；</w:t>
      </w:r>
    </w:p>
    <w:p>
      <w:pPr>
        <w:bidi w:val="0"/>
        <w:rPr>
          <w:rFonts w:hint="eastAsia"/>
        </w:rPr>
      </w:pPr>
      <w:r>
        <w:rPr>
          <w:rFonts w:hint="eastAsia"/>
          <w:lang w:val="en-US" w:eastAsia="zh-CN"/>
        </w:rPr>
        <w:t>范华新担任公司执行董事兼总经理，经适当核实，范华新</w:t>
      </w:r>
      <w:r>
        <w:rPr>
          <w:rFonts w:hint="eastAsia"/>
        </w:rPr>
        <w:t>能够控制公司的股东会、影响股东会决议，进而能够对公司的生产经营管理事项产生重大影响</w:t>
      </w:r>
      <w:r>
        <w:rPr>
          <w:rFonts w:hint="eastAsia"/>
          <w:lang w:eastAsia="zh-CN"/>
        </w:rPr>
        <w:t>，</w:t>
      </w:r>
      <w:r>
        <w:rPr>
          <w:rFonts w:hint="eastAsia"/>
          <w:lang w:val="en-US" w:eastAsia="zh-CN"/>
        </w:rPr>
        <w:t>因此，范华新为公司的实际控制人</w:t>
      </w:r>
      <w:r>
        <w:rPr>
          <w:rFonts w:hint="eastAsia"/>
        </w:rPr>
        <w:t>。</w:t>
      </w:r>
    </w:p>
    <w:p>
      <w:pPr>
        <w:shd w:val="clear"/>
        <w:bidi w:val="0"/>
        <w:rPr>
          <w:rFonts w:hint="default"/>
          <w:highlight w:val="none"/>
          <w:lang w:val="en-US" w:eastAsia="zh-CN"/>
        </w:rPr>
      </w:pPr>
      <w:r>
        <w:rPr>
          <w:rFonts w:hint="eastAsia"/>
          <w:highlight w:val="none"/>
          <w:lang w:val="en-US" w:eastAsia="zh-CN"/>
        </w:rPr>
        <w:t>范华新简要情况如下：</w:t>
      </w:r>
    </w:p>
    <w:p>
      <w:pPr>
        <w:shd w:val="clear"/>
        <w:bidi w:val="0"/>
        <w:rPr>
          <w:rFonts w:hint="default"/>
          <w:highlight w:val="none"/>
          <w:lang w:val="en-US" w:eastAsia="zh-CN"/>
        </w:rPr>
      </w:pPr>
      <w:r>
        <w:rPr>
          <w:rFonts w:hint="eastAsia"/>
          <w:highlight w:val="none"/>
          <w:lang w:val="en-US" w:eastAsia="zh-CN"/>
        </w:rPr>
        <w:t>范华新，1971年2月出生，男，中国国籍，无境外永久居留权，中学学历。2008年至今，自主创办龙口市龙金花植物油有限公司，任公司执行董事、总经理。</w:t>
      </w:r>
    </w:p>
    <w:p>
      <w:pPr>
        <w:pStyle w:val="4"/>
        <w:bidi w:val="0"/>
        <w:rPr>
          <w:rFonts w:hint="eastAsia"/>
        </w:rPr>
      </w:pPr>
      <w:bookmarkStart w:id="53" w:name="_Toc17023"/>
      <w:r>
        <w:rPr>
          <w:rFonts w:hint="eastAsia"/>
        </w:rPr>
        <w:t>三、公司主要的商业模式</w:t>
      </w:r>
      <w:bookmarkEnd w:id="53"/>
    </w:p>
    <w:p>
      <w:pPr>
        <w:bidi w:val="0"/>
        <w:rPr>
          <w:rFonts w:hint="default"/>
          <w:highlight w:val="none"/>
          <w:lang w:val="en-US"/>
        </w:rPr>
      </w:pPr>
      <w:r>
        <w:rPr>
          <w:rFonts w:hint="eastAsia"/>
          <w:highlight w:val="none"/>
        </w:rPr>
        <w:t>公司主营业务为</w:t>
      </w:r>
      <w:r>
        <w:rPr>
          <w:rFonts w:hint="eastAsia"/>
          <w:highlight w:val="none"/>
          <w:lang w:val="en-US" w:eastAsia="zh-CN"/>
        </w:rPr>
        <w:t>食用植物油的生产和销售</w:t>
      </w:r>
      <w:r>
        <w:rPr>
          <w:rFonts w:hint="eastAsia"/>
          <w:highlight w:val="none"/>
          <w:lang w:eastAsia="zh-CN"/>
        </w:rPr>
        <w:t>。</w:t>
      </w:r>
    </w:p>
    <w:p>
      <w:pPr>
        <w:pStyle w:val="5"/>
        <w:bidi w:val="0"/>
        <w:rPr>
          <w:rFonts w:hint="eastAsia"/>
        </w:rPr>
      </w:pPr>
      <w:r>
        <w:rPr>
          <w:rFonts w:hint="eastAsia"/>
          <w:lang w:eastAsia="zh-CN"/>
        </w:rPr>
        <w:t>（一）</w:t>
      </w:r>
      <w:r>
        <w:rPr>
          <w:rFonts w:hint="eastAsia"/>
        </w:rPr>
        <w:t>销售模式</w:t>
      </w:r>
    </w:p>
    <w:p>
      <w:pPr>
        <w:bidi w:val="0"/>
        <w:rPr>
          <w:rFonts w:hint="eastAsia"/>
        </w:rPr>
      </w:pPr>
      <w:r>
        <w:rPr>
          <w:rFonts w:hint="eastAsia"/>
        </w:rPr>
        <w:t>公司</w:t>
      </w:r>
      <w:r>
        <w:rPr>
          <w:rFonts w:hint="eastAsia"/>
          <w:lang w:val="en-US" w:eastAsia="zh-CN"/>
        </w:rPr>
        <w:t>采用多样化的销售模式，</w:t>
      </w:r>
      <w:r>
        <w:rPr>
          <w:rFonts w:hint="eastAsia"/>
        </w:rPr>
        <w:t>主要订单销售</w:t>
      </w:r>
      <w:r>
        <w:rPr>
          <w:rFonts w:hint="eastAsia"/>
          <w:lang w:eastAsia="zh-CN"/>
        </w:rPr>
        <w:t>、</w:t>
      </w:r>
      <w:r>
        <w:rPr>
          <w:rFonts w:hint="eastAsia"/>
          <w:lang w:val="en-US" w:eastAsia="zh-CN"/>
        </w:rPr>
        <w:t>供应商销售、直营销售等</w:t>
      </w:r>
      <w:r>
        <w:rPr>
          <w:rFonts w:hint="eastAsia"/>
        </w:rPr>
        <w:t>。公司会逐渐通过不断完善销售渠道和营销服务网络，贴近终端客户，及时掌握客户需求变化信息、增强市场开拓能力和快速响应能力。</w:t>
      </w:r>
    </w:p>
    <w:p>
      <w:pPr>
        <w:pStyle w:val="5"/>
        <w:bidi w:val="0"/>
        <w:rPr>
          <w:rFonts w:hint="eastAsia"/>
        </w:rPr>
      </w:pPr>
      <w:r>
        <w:rPr>
          <w:rFonts w:hint="eastAsia"/>
          <w:lang w:eastAsia="zh-CN"/>
        </w:rPr>
        <w:t>（二）</w:t>
      </w:r>
      <w:r>
        <w:rPr>
          <w:rFonts w:hint="eastAsia"/>
        </w:rPr>
        <w:t>采购模式</w:t>
      </w:r>
    </w:p>
    <w:p>
      <w:pPr>
        <w:bidi w:val="0"/>
        <w:rPr>
          <w:rFonts w:hint="eastAsia"/>
        </w:rPr>
      </w:pPr>
      <w:r>
        <w:rPr>
          <w:rFonts w:hint="eastAsia"/>
        </w:rPr>
        <w:t>公司采购工作全部由公司</w:t>
      </w:r>
      <w:r>
        <w:rPr>
          <w:rFonts w:hint="eastAsia"/>
          <w:lang w:val="en-US" w:eastAsia="zh-CN"/>
        </w:rPr>
        <w:t>采购供应部部</w:t>
      </w:r>
      <w:r>
        <w:rPr>
          <w:rFonts w:hint="eastAsia"/>
        </w:rPr>
        <w:t>负责，</w:t>
      </w:r>
      <w:r>
        <w:rPr>
          <w:rFonts w:hint="eastAsia"/>
          <w:lang w:val="en-US" w:eastAsia="zh-CN"/>
        </w:rPr>
        <w:t>采购供应部</w:t>
      </w:r>
      <w:r>
        <w:rPr>
          <w:rFonts w:hint="eastAsia"/>
        </w:rPr>
        <w:t>根据公司的生产</w:t>
      </w:r>
      <w:r>
        <w:rPr>
          <w:rFonts w:hint="eastAsia"/>
          <w:lang w:val="en-US" w:eastAsia="zh-CN"/>
        </w:rPr>
        <w:t>原</w:t>
      </w:r>
      <w:r>
        <w:rPr>
          <w:rFonts w:hint="eastAsia"/>
        </w:rPr>
        <w:t>材料、辅料及</w:t>
      </w:r>
      <w:r>
        <w:rPr>
          <w:rFonts w:hint="eastAsia"/>
          <w:lang w:val="en-US" w:eastAsia="zh-CN"/>
        </w:rPr>
        <w:t>专用</w:t>
      </w:r>
      <w:r>
        <w:rPr>
          <w:rFonts w:hint="eastAsia"/>
        </w:rPr>
        <w:t>设备由</w:t>
      </w:r>
      <w:r>
        <w:rPr>
          <w:rFonts w:hint="eastAsia"/>
          <w:lang w:val="en-US" w:eastAsia="zh-CN"/>
        </w:rPr>
        <w:t>采购供应部</w:t>
      </w:r>
      <w:r>
        <w:rPr>
          <w:rFonts w:hint="eastAsia"/>
        </w:rPr>
        <w:t>根据生产计划、物料需求计划、库存量、采购在途量制定采购计划。</w:t>
      </w:r>
    </w:p>
    <w:p>
      <w:pPr>
        <w:bidi w:val="0"/>
        <w:rPr>
          <w:rFonts w:hint="eastAsia"/>
        </w:rPr>
      </w:pPr>
      <w:r>
        <w:rPr>
          <w:rFonts w:hint="eastAsia"/>
        </w:rPr>
        <w:t>公司原料采用供应商库比价方式进行采购，同一原材料至少引入3家供应商，采购时同时询价，优先向</w:t>
      </w:r>
      <w:r>
        <w:rPr>
          <w:rFonts w:hint="eastAsia"/>
          <w:lang w:val="en-US" w:eastAsia="zh-CN"/>
        </w:rPr>
        <w:t>质高</w:t>
      </w:r>
      <w:r>
        <w:rPr>
          <w:rFonts w:hint="eastAsia"/>
        </w:rPr>
        <w:t>价低者采购，线下订立</w:t>
      </w:r>
      <w:r>
        <w:rPr>
          <w:rFonts w:hint="eastAsia"/>
          <w:lang w:val="en-US" w:eastAsia="zh-CN"/>
        </w:rPr>
        <w:t>采购</w:t>
      </w:r>
      <w:r>
        <w:rPr>
          <w:rFonts w:hint="eastAsia"/>
        </w:rPr>
        <w:t>合同；</w:t>
      </w:r>
      <w:r>
        <w:rPr>
          <w:rFonts w:hint="eastAsia"/>
          <w:lang w:val="en-US" w:eastAsia="zh-CN"/>
        </w:rPr>
        <w:t>同时</w:t>
      </w:r>
      <w:r>
        <w:rPr>
          <w:rFonts w:hint="eastAsia"/>
        </w:rPr>
        <w:t>，</w:t>
      </w:r>
      <w:r>
        <w:rPr>
          <w:rFonts w:hint="eastAsia"/>
          <w:lang w:val="en-US" w:eastAsia="zh-CN"/>
        </w:rPr>
        <w:t>公司建立供应商库，</w:t>
      </w:r>
      <w:r>
        <w:rPr>
          <w:rFonts w:hint="eastAsia"/>
        </w:rPr>
        <w:t>根据供应商生产能力、距离、稳定性、价格因素择优选用列入供应商库</w:t>
      </w:r>
      <w:r>
        <w:rPr>
          <w:rFonts w:hint="eastAsia"/>
          <w:lang w:eastAsia="zh-CN"/>
        </w:rPr>
        <w:t>，</w:t>
      </w:r>
      <w:r>
        <w:rPr>
          <w:rFonts w:hint="eastAsia"/>
          <w:lang w:val="en-US" w:eastAsia="zh-CN"/>
        </w:rPr>
        <w:t>并动态更新</w:t>
      </w:r>
      <w:r>
        <w:rPr>
          <w:rFonts w:hint="eastAsia"/>
        </w:rPr>
        <w:t>。</w:t>
      </w:r>
    </w:p>
    <w:p>
      <w:pPr>
        <w:bidi w:val="0"/>
        <w:rPr>
          <w:rFonts w:hint="eastAsia"/>
        </w:rPr>
      </w:pPr>
      <w:r>
        <w:rPr>
          <w:rFonts w:hint="eastAsia"/>
        </w:rPr>
        <w:t>特别对产品所需求的原材料制定采购计划，与供应商签订长期采购合同，锁定原料价格，由于定价锁定原料成本，保证了盈利的相对稳定。</w:t>
      </w:r>
    </w:p>
    <w:p>
      <w:pPr>
        <w:pStyle w:val="5"/>
        <w:bidi w:val="0"/>
        <w:rPr>
          <w:rFonts w:hint="eastAsia"/>
        </w:rPr>
      </w:pPr>
      <w:r>
        <w:rPr>
          <w:rFonts w:hint="eastAsia"/>
          <w:lang w:eastAsia="zh-CN"/>
        </w:rPr>
        <w:t>（三）</w:t>
      </w:r>
      <w:r>
        <w:rPr>
          <w:rFonts w:hint="eastAsia"/>
        </w:rPr>
        <w:t>生产模式</w:t>
      </w:r>
    </w:p>
    <w:p>
      <w:pPr>
        <w:bidi w:val="0"/>
        <w:rPr>
          <w:rFonts w:hint="eastAsia"/>
        </w:rPr>
      </w:pPr>
      <w:r>
        <w:rPr>
          <w:rFonts w:hint="eastAsia"/>
        </w:rPr>
        <w:t>公司的主要生产模式是</w:t>
      </w:r>
      <w:r>
        <w:rPr>
          <w:rFonts w:hint="eastAsia"/>
          <w:lang w:val="en-US" w:eastAsia="zh-CN"/>
        </w:rPr>
        <w:t>自营</w:t>
      </w:r>
      <w:r>
        <w:rPr>
          <w:rFonts w:hint="eastAsia"/>
        </w:rPr>
        <w:t>生产，首先根据销售部签订的合同要求下达生产订单，安排生产；销售部将根据市场信息及时给生产管理部反馈生产信息及时变更生产计划，确保生产订单按照要求保质保量按时交工。</w:t>
      </w:r>
      <w:r>
        <w:rPr>
          <w:rFonts w:hint="eastAsia"/>
          <w:lang w:eastAsia="zh-CN"/>
        </w:rPr>
        <w:t>质检部</w:t>
      </w:r>
      <w:r>
        <w:rPr>
          <w:rFonts w:hint="eastAsia"/>
        </w:rPr>
        <w:t>必须对质量进行严格控制，采取产品合格率与</w:t>
      </w:r>
      <w:r>
        <w:rPr>
          <w:rFonts w:hint="eastAsia"/>
          <w:lang w:eastAsia="zh-CN"/>
        </w:rPr>
        <w:t>生产</w:t>
      </w:r>
      <w:r>
        <w:rPr>
          <w:rFonts w:hint="eastAsia"/>
        </w:rPr>
        <w:t>部职工工资挂钩的模式。</w:t>
      </w:r>
    </w:p>
    <w:p>
      <w:pPr>
        <w:pStyle w:val="5"/>
        <w:bidi w:val="0"/>
        <w:rPr>
          <w:rFonts w:hint="eastAsia"/>
          <w:highlight w:val="none"/>
        </w:rPr>
      </w:pPr>
      <w:r>
        <w:rPr>
          <w:rFonts w:hint="eastAsia"/>
          <w:highlight w:val="none"/>
          <w:lang w:eastAsia="zh-CN"/>
        </w:rPr>
        <w:t>（四）</w:t>
      </w:r>
      <w:r>
        <w:rPr>
          <w:rFonts w:hint="eastAsia"/>
          <w:highlight w:val="none"/>
        </w:rPr>
        <w:t>结算模式</w:t>
      </w:r>
    </w:p>
    <w:p>
      <w:pPr>
        <w:bidi w:val="0"/>
        <w:rPr>
          <w:rFonts w:hint="eastAsia"/>
          <w:highlight w:val="yellow"/>
        </w:rPr>
      </w:pPr>
      <w:r>
        <w:rPr>
          <w:rFonts w:hint="eastAsia"/>
          <w:highlight w:val="none"/>
        </w:rPr>
        <w:t>报告期内，</w:t>
      </w:r>
      <w:r>
        <w:rPr>
          <w:rFonts w:hint="eastAsia"/>
          <w:highlight w:val="none"/>
          <w:lang w:val="en-US" w:eastAsia="zh-CN"/>
        </w:rPr>
        <w:t>公司灵活采用多种结算方式，针对客户，主要采用签订长期供货合同，以月度为单位进行结算的方式，针对普通家庭或节假福利采购客户采用货到付款，账期较短。针对供应商，公司采用预付+现付的方式，锁定原材料价格</w:t>
      </w:r>
      <w:r>
        <w:rPr>
          <w:rFonts w:hint="eastAsia"/>
          <w:highlight w:val="none"/>
        </w:rPr>
        <w:t>。</w:t>
      </w:r>
    </w:p>
    <w:p>
      <w:pPr>
        <w:pStyle w:val="4"/>
        <w:bidi w:val="0"/>
        <w:rPr>
          <w:rFonts w:hint="eastAsia"/>
        </w:rPr>
      </w:pPr>
      <w:bookmarkStart w:id="54" w:name="_Toc29123"/>
      <w:r>
        <w:rPr>
          <w:rFonts w:hint="eastAsia"/>
        </w:rPr>
        <w:t>四、公司主要产品</w:t>
      </w:r>
      <w:bookmarkEnd w:id="54"/>
    </w:p>
    <w:p>
      <w:pPr>
        <w:rPr>
          <w:rFonts w:hint="default" w:eastAsia="宋体"/>
          <w:lang w:val="en-US" w:eastAsia="zh-CN"/>
        </w:rPr>
      </w:pPr>
      <w:r>
        <w:rPr>
          <w:rFonts w:hint="eastAsia"/>
          <w:lang w:val="en-US" w:eastAsia="zh-CN"/>
        </w:rPr>
        <w:t>报告期内，公司核心产品主要是花生油、玉米油、调和油等，其中花生油是公司主打产品，包括新法压榨花生油系列、纯香压榨花生油系列、鲜榨浓香花生油系列。</w:t>
      </w:r>
    </w:p>
    <w:tbl>
      <w:tblPr>
        <w:tblStyle w:val="16"/>
        <w:tblW w:w="4998" w:type="pct"/>
        <w:tblInd w:w="0" w:type="dxa"/>
        <w:tblLayout w:type="autofit"/>
        <w:tblCellMar>
          <w:top w:w="0" w:type="dxa"/>
          <w:left w:w="0" w:type="dxa"/>
          <w:bottom w:w="0" w:type="dxa"/>
          <w:right w:w="0" w:type="dxa"/>
        </w:tblCellMar>
      </w:tblPr>
      <w:tblGrid>
        <w:gridCol w:w="1320"/>
        <w:gridCol w:w="3333"/>
        <w:gridCol w:w="3680"/>
      </w:tblGrid>
      <w:tr>
        <w:tblPrEx>
          <w:tblCellMar>
            <w:top w:w="0" w:type="dxa"/>
            <w:left w:w="0" w:type="dxa"/>
            <w:bottom w:w="0" w:type="dxa"/>
            <w:right w:w="0" w:type="dxa"/>
          </w:tblCellMar>
        </w:tblPrEx>
        <w:trPr>
          <w:trHeight w:val="320" w:hRule="atLeast"/>
        </w:trPr>
        <w:tc>
          <w:tcPr>
            <w:tcW w:w="792" w:type="pct"/>
            <w:tcBorders>
              <w:top w:val="single" w:color="000000" w:sz="4" w:space="0"/>
              <w:left w:val="single" w:color="000000" w:sz="4" w:space="0"/>
              <w:bottom w:val="single" w:color="000000" w:sz="4" w:space="0"/>
              <w:right w:val="single" w:color="000000" w:sz="4" w:space="0"/>
            </w:tcBorders>
            <w:shd w:val="clear" w:color="auto" w:fill="A4A4A4"/>
            <w:noWrap w:val="0"/>
            <w:tcMar>
              <w:top w:w="12" w:type="dxa"/>
              <w:left w:w="12" w:type="dxa"/>
              <w:right w:w="12" w:type="dxa"/>
            </w:tcMar>
            <w:vAlign w:val="center"/>
          </w:tcPr>
          <w:p>
            <w:pPr>
              <w:pStyle w:val="2"/>
              <w:bidi w:val="0"/>
              <w:rPr>
                <w:rFonts w:hint="eastAsia"/>
                <w:b/>
                <w:bCs/>
              </w:rPr>
            </w:pPr>
            <w:r>
              <w:rPr>
                <w:rFonts w:hint="eastAsia"/>
                <w:b/>
                <w:bCs/>
              </w:rPr>
              <w:t>序号</w:t>
            </w:r>
          </w:p>
        </w:tc>
        <w:tc>
          <w:tcPr>
            <w:tcW w:w="1999" w:type="pct"/>
            <w:tcBorders>
              <w:top w:val="single" w:color="000000" w:sz="4" w:space="0"/>
              <w:left w:val="single" w:color="000000" w:sz="4" w:space="0"/>
              <w:bottom w:val="single" w:color="000000" w:sz="4" w:space="0"/>
              <w:right w:val="single" w:color="000000" w:sz="4" w:space="0"/>
            </w:tcBorders>
            <w:shd w:val="clear" w:color="auto" w:fill="A4A4A4"/>
            <w:noWrap w:val="0"/>
            <w:tcMar>
              <w:top w:w="12" w:type="dxa"/>
              <w:left w:w="12" w:type="dxa"/>
              <w:right w:w="12" w:type="dxa"/>
            </w:tcMar>
            <w:vAlign w:val="center"/>
          </w:tcPr>
          <w:p>
            <w:pPr>
              <w:pStyle w:val="2"/>
              <w:bidi w:val="0"/>
              <w:rPr>
                <w:rFonts w:hint="eastAsia"/>
                <w:b/>
                <w:bCs/>
              </w:rPr>
            </w:pPr>
            <w:r>
              <w:rPr>
                <w:rFonts w:hint="eastAsia"/>
                <w:b/>
                <w:bCs/>
              </w:rPr>
              <w:t>产品名称</w:t>
            </w:r>
          </w:p>
        </w:tc>
        <w:tc>
          <w:tcPr>
            <w:tcW w:w="2207" w:type="pct"/>
            <w:tcBorders>
              <w:top w:val="single" w:color="000000" w:sz="4" w:space="0"/>
              <w:left w:val="single" w:color="000000" w:sz="4" w:space="0"/>
              <w:bottom w:val="single" w:color="000000" w:sz="4" w:space="0"/>
              <w:right w:val="single" w:color="000000" w:sz="4" w:space="0"/>
            </w:tcBorders>
            <w:shd w:val="clear" w:color="auto" w:fill="A4A4A4"/>
            <w:noWrap w:val="0"/>
            <w:tcMar>
              <w:top w:w="12" w:type="dxa"/>
              <w:left w:w="12" w:type="dxa"/>
              <w:right w:w="12" w:type="dxa"/>
            </w:tcMar>
            <w:vAlign w:val="center"/>
          </w:tcPr>
          <w:p>
            <w:pPr>
              <w:pStyle w:val="2"/>
              <w:bidi w:val="0"/>
              <w:rPr>
                <w:rFonts w:hint="eastAsia"/>
                <w:b/>
                <w:bCs/>
              </w:rPr>
            </w:pPr>
            <w:r>
              <w:rPr>
                <w:rFonts w:hint="eastAsia"/>
                <w:b/>
                <w:bCs/>
              </w:rPr>
              <w:t>产品图片</w:t>
            </w:r>
          </w:p>
        </w:tc>
      </w:tr>
      <w:tr>
        <w:tblPrEx>
          <w:tblCellMar>
            <w:top w:w="0" w:type="dxa"/>
            <w:left w:w="0" w:type="dxa"/>
            <w:bottom w:w="0" w:type="dxa"/>
            <w:right w:w="0" w:type="dxa"/>
          </w:tblCellMar>
        </w:tblPrEx>
        <w:trPr>
          <w:trHeight w:val="1836" w:hRule="atLeast"/>
        </w:trPr>
        <w:tc>
          <w:tcPr>
            <w:tcW w:w="79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rPr>
            </w:pPr>
            <w:r>
              <w:rPr>
                <w:rFonts w:hint="eastAsia"/>
              </w:rPr>
              <w:t>1</w:t>
            </w:r>
          </w:p>
        </w:tc>
        <w:tc>
          <w:tcPr>
            <w:tcW w:w="199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rPr>
            </w:pPr>
            <w:r>
              <w:rPr>
                <w:rFonts w:hint="eastAsia"/>
                <w:lang w:val="en-US" w:eastAsia="zh-CN"/>
              </w:rPr>
              <w:t>新法压榨花生油系列</w:t>
            </w:r>
          </w:p>
        </w:tc>
        <w:tc>
          <w:tcPr>
            <w:tcW w:w="220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eastAsia="宋体"/>
                <w:lang w:eastAsia="zh-CN"/>
              </w:rPr>
            </w:pPr>
            <w:r>
              <w:rPr>
                <w:rFonts w:hint="eastAsia" w:eastAsia="宋体"/>
                <w:lang w:eastAsia="zh-CN"/>
              </w:rPr>
              <w:drawing>
                <wp:inline distT="0" distB="0" distL="114300" distR="114300">
                  <wp:extent cx="1574165" cy="1574165"/>
                  <wp:effectExtent l="0" t="0" r="10795" b="10795"/>
                  <wp:docPr id="9" name="图片 9" descr="新法压榨花生油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新法压榨花生油5L"/>
                          <pic:cNvPicPr>
                            <a:picLocks noChangeAspect="1"/>
                          </pic:cNvPicPr>
                        </pic:nvPicPr>
                        <pic:blipFill>
                          <a:blip r:embed="rId12"/>
                          <a:stretch>
                            <a:fillRect/>
                          </a:stretch>
                        </pic:blipFill>
                        <pic:spPr>
                          <a:xfrm>
                            <a:off x="0" y="0"/>
                            <a:ext cx="1574165" cy="1574165"/>
                          </a:xfrm>
                          <a:prstGeom prst="rect">
                            <a:avLst/>
                          </a:prstGeom>
                        </pic:spPr>
                      </pic:pic>
                    </a:graphicData>
                  </a:graphic>
                </wp:inline>
              </w:drawing>
            </w:r>
          </w:p>
        </w:tc>
      </w:tr>
      <w:tr>
        <w:tblPrEx>
          <w:tblCellMar>
            <w:top w:w="0" w:type="dxa"/>
            <w:left w:w="0" w:type="dxa"/>
            <w:bottom w:w="0" w:type="dxa"/>
            <w:right w:w="0" w:type="dxa"/>
          </w:tblCellMar>
        </w:tblPrEx>
        <w:trPr>
          <w:trHeight w:val="1836" w:hRule="atLeast"/>
        </w:trPr>
        <w:tc>
          <w:tcPr>
            <w:tcW w:w="79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rPr>
            </w:pPr>
            <w:r>
              <w:rPr>
                <w:rFonts w:hint="eastAsia"/>
              </w:rPr>
              <w:t>2</w:t>
            </w:r>
          </w:p>
        </w:tc>
        <w:tc>
          <w:tcPr>
            <w:tcW w:w="199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rPr>
            </w:pPr>
            <w:r>
              <w:rPr>
                <w:rFonts w:hint="eastAsia"/>
                <w:lang w:val="en-US" w:eastAsia="zh-CN"/>
              </w:rPr>
              <w:t>纯香压榨花生油系列</w:t>
            </w:r>
          </w:p>
        </w:tc>
        <w:tc>
          <w:tcPr>
            <w:tcW w:w="220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eastAsia="宋体"/>
                <w:lang w:eastAsia="zh-CN"/>
              </w:rPr>
            </w:pPr>
            <w:r>
              <w:rPr>
                <w:rFonts w:hint="eastAsia" w:eastAsia="宋体"/>
                <w:lang w:eastAsia="zh-CN"/>
              </w:rPr>
              <w:drawing>
                <wp:inline distT="0" distB="0" distL="114300" distR="114300">
                  <wp:extent cx="1594485" cy="1594485"/>
                  <wp:effectExtent l="0" t="0" r="5715" b="5715"/>
                  <wp:docPr id="6" name="图片 6" descr="纯香压榨花生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纯香压榨花生油"/>
                          <pic:cNvPicPr>
                            <a:picLocks noChangeAspect="1"/>
                          </pic:cNvPicPr>
                        </pic:nvPicPr>
                        <pic:blipFill>
                          <a:blip r:embed="rId13"/>
                          <a:stretch>
                            <a:fillRect/>
                          </a:stretch>
                        </pic:blipFill>
                        <pic:spPr>
                          <a:xfrm>
                            <a:off x="0" y="0"/>
                            <a:ext cx="1594485" cy="1594485"/>
                          </a:xfrm>
                          <a:prstGeom prst="rect">
                            <a:avLst/>
                          </a:prstGeom>
                        </pic:spPr>
                      </pic:pic>
                    </a:graphicData>
                  </a:graphic>
                </wp:inline>
              </w:drawing>
            </w:r>
          </w:p>
        </w:tc>
      </w:tr>
      <w:tr>
        <w:tblPrEx>
          <w:tblCellMar>
            <w:top w:w="0" w:type="dxa"/>
            <w:left w:w="0" w:type="dxa"/>
            <w:bottom w:w="0" w:type="dxa"/>
            <w:right w:w="0" w:type="dxa"/>
          </w:tblCellMar>
        </w:tblPrEx>
        <w:trPr>
          <w:trHeight w:val="1075" w:hRule="atLeast"/>
        </w:trPr>
        <w:tc>
          <w:tcPr>
            <w:tcW w:w="79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rPr>
            </w:pPr>
            <w:r>
              <w:rPr>
                <w:rFonts w:hint="eastAsia"/>
              </w:rPr>
              <w:t>3</w:t>
            </w:r>
          </w:p>
        </w:tc>
        <w:tc>
          <w:tcPr>
            <w:tcW w:w="199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rPr>
            </w:pPr>
            <w:r>
              <w:rPr>
                <w:rFonts w:hint="eastAsia"/>
                <w:lang w:val="en-US" w:eastAsia="zh-CN"/>
              </w:rPr>
              <w:t>鲜榨浓香花生油系列</w:t>
            </w:r>
          </w:p>
        </w:tc>
        <w:tc>
          <w:tcPr>
            <w:tcW w:w="220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eastAsia="宋体"/>
                <w:lang w:eastAsia="zh-CN"/>
              </w:rPr>
            </w:pPr>
            <w:r>
              <w:rPr>
                <w:rFonts w:hint="eastAsia" w:eastAsia="宋体"/>
                <w:lang w:eastAsia="zh-CN"/>
              </w:rPr>
              <w:drawing>
                <wp:inline distT="0" distB="0" distL="114300" distR="114300">
                  <wp:extent cx="1623695" cy="1623695"/>
                  <wp:effectExtent l="0" t="0" r="6985" b="6985"/>
                  <wp:docPr id="7" name="图片 7" descr="鲜榨浓香花生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鲜榨浓香花生油"/>
                          <pic:cNvPicPr>
                            <a:picLocks noChangeAspect="1"/>
                          </pic:cNvPicPr>
                        </pic:nvPicPr>
                        <pic:blipFill>
                          <a:blip r:embed="rId14"/>
                          <a:stretch>
                            <a:fillRect/>
                          </a:stretch>
                        </pic:blipFill>
                        <pic:spPr>
                          <a:xfrm>
                            <a:off x="0" y="0"/>
                            <a:ext cx="1623695" cy="1623695"/>
                          </a:xfrm>
                          <a:prstGeom prst="rect">
                            <a:avLst/>
                          </a:prstGeom>
                        </pic:spPr>
                      </pic:pic>
                    </a:graphicData>
                  </a:graphic>
                </wp:inline>
              </w:drawing>
            </w:r>
          </w:p>
        </w:tc>
      </w:tr>
      <w:tr>
        <w:tblPrEx>
          <w:tblCellMar>
            <w:top w:w="0" w:type="dxa"/>
            <w:left w:w="0" w:type="dxa"/>
            <w:bottom w:w="0" w:type="dxa"/>
            <w:right w:w="0" w:type="dxa"/>
          </w:tblCellMar>
        </w:tblPrEx>
        <w:trPr>
          <w:trHeight w:val="1075" w:hRule="atLeast"/>
        </w:trPr>
        <w:tc>
          <w:tcPr>
            <w:tcW w:w="79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eastAsia="宋体"/>
                <w:lang w:val="en-US" w:eastAsia="zh-CN"/>
              </w:rPr>
            </w:pPr>
            <w:r>
              <w:rPr>
                <w:rFonts w:hint="eastAsia"/>
                <w:lang w:val="en-US" w:eastAsia="zh-CN"/>
              </w:rPr>
              <w:t>5</w:t>
            </w:r>
          </w:p>
        </w:tc>
        <w:tc>
          <w:tcPr>
            <w:tcW w:w="199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default"/>
                <w:lang w:val="en-US" w:eastAsia="zh-CN"/>
              </w:rPr>
            </w:pPr>
            <w:r>
              <w:rPr>
                <w:rFonts w:hint="eastAsia"/>
                <w:lang w:val="en-US" w:eastAsia="zh-CN"/>
              </w:rPr>
              <w:t>玉米油胚芽油</w:t>
            </w:r>
          </w:p>
        </w:tc>
        <w:tc>
          <w:tcPr>
            <w:tcW w:w="220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2"/>
              <w:bidi w:val="0"/>
              <w:rPr>
                <w:rFonts w:hint="eastAsia" w:eastAsia="宋体"/>
                <w:lang w:eastAsia="zh-CN"/>
              </w:rPr>
            </w:pPr>
            <w:r>
              <w:rPr>
                <w:rFonts w:hint="eastAsia" w:eastAsia="宋体"/>
                <w:lang w:eastAsia="zh-CN"/>
              </w:rPr>
              <w:drawing>
                <wp:inline distT="0" distB="0" distL="114300" distR="114300">
                  <wp:extent cx="1470660" cy="1470660"/>
                  <wp:effectExtent l="0" t="0" r="7620" b="7620"/>
                  <wp:docPr id="10" name="图片 10" descr="玉米胚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玉米胚芽油"/>
                          <pic:cNvPicPr>
                            <a:picLocks noChangeAspect="1"/>
                          </pic:cNvPicPr>
                        </pic:nvPicPr>
                        <pic:blipFill>
                          <a:blip r:embed="rId15"/>
                          <a:stretch>
                            <a:fillRect/>
                          </a:stretch>
                        </pic:blipFill>
                        <pic:spPr>
                          <a:xfrm>
                            <a:off x="0" y="0"/>
                            <a:ext cx="1470660" cy="1470660"/>
                          </a:xfrm>
                          <a:prstGeom prst="rect">
                            <a:avLst/>
                          </a:prstGeom>
                        </pic:spPr>
                      </pic:pic>
                    </a:graphicData>
                  </a:graphic>
                </wp:inline>
              </w:drawing>
            </w:r>
          </w:p>
        </w:tc>
      </w:tr>
    </w:tbl>
    <w:p>
      <w:pPr>
        <w:pStyle w:val="4"/>
        <w:bidi w:val="0"/>
        <w:rPr>
          <w:rFonts w:hint="eastAsia"/>
        </w:rPr>
      </w:pPr>
      <w:bookmarkStart w:id="55" w:name="_Toc4265"/>
      <w:r>
        <w:rPr>
          <w:rFonts w:hint="eastAsia"/>
          <w:lang w:val="en-US" w:eastAsia="zh-CN"/>
        </w:rPr>
        <w:t>五</w:t>
      </w:r>
      <w:r>
        <w:rPr>
          <w:rFonts w:hint="eastAsia"/>
        </w:rPr>
        <w:t>、会计师审计意见及财务报表</w:t>
      </w:r>
      <w:bookmarkEnd w:id="55"/>
    </w:p>
    <w:p>
      <w:pPr>
        <w:pStyle w:val="5"/>
        <w:bidi w:val="0"/>
        <w:rPr>
          <w:rFonts w:hint="eastAsia"/>
          <w:lang w:eastAsia="zh-CN"/>
        </w:rPr>
      </w:pPr>
      <w:r>
        <w:rPr>
          <w:rFonts w:hint="eastAsia"/>
          <w:lang w:eastAsia="zh-CN"/>
        </w:rPr>
        <w:t>（一）最近一年及一期的审计意见</w:t>
      </w:r>
    </w:p>
    <w:p>
      <w:pPr>
        <w:rPr>
          <w:rFonts w:hint="eastAsia"/>
        </w:rPr>
      </w:pPr>
      <w:r>
        <w:rPr>
          <w:rFonts w:hint="eastAsia" w:ascii="_x000B__x000C_" w:hAnsi="_x000B__x000C_"/>
          <w:lang w:eastAsia="zh-CN"/>
        </w:rPr>
        <w:t>公司聘请山东新天地会计师事务所有限公司对公司</w:t>
      </w:r>
      <w:r>
        <w:rPr>
          <w:rFonts w:hint="eastAsia" w:ascii="_x000B__x000C_" w:hAnsi="_x000B__x000C_"/>
          <w:lang w:val="en-US" w:eastAsia="zh-CN"/>
        </w:rPr>
        <w:t>2019年度、2020年1-11月的财务报表及财务报表附注进行了审计，并</w:t>
      </w:r>
      <w:r>
        <w:rPr>
          <w:rFonts w:hint="eastAsia" w:ascii="_x000B__x000C_" w:hAnsi="_x000B__x000C_"/>
          <w:lang w:eastAsia="zh-CN"/>
        </w:rPr>
        <w:t>出具了“鲁新天地会审字(2021)第Y1011号”标准无保留意见的《审计报告》。</w:t>
      </w:r>
    </w:p>
    <w:p>
      <w:pPr>
        <w:pStyle w:val="5"/>
        <w:bidi w:val="0"/>
      </w:pPr>
      <w:r>
        <w:rPr>
          <w:rFonts w:hint="eastAsia"/>
          <w:lang w:eastAsia="zh-CN"/>
        </w:rPr>
        <w:t>（二）</w:t>
      </w:r>
      <w:r>
        <w:t>财务报表</w:t>
      </w:r>
    </w:p>
    <w:p>
      <w:pPr>
        <w:rPr>
          <w:rFonts w:hint="eastAsia"/>
          <w:lang w:val="en-US" w:eastAsia="zh-CN"/>
        </w:rPr>
      </w:pPr>
      <w:r>
        <w:rPr>
          <w:rFonts w:hint="eastAsia"/>
          <w:lang w:val="en-US" w:eastAsia="zh-CN"/>
        </w:rPr>
        <w:t>1、资产负债表</w:t>
      </w:r>
    </w:p>
    <w:p>
      <w:pPr>
        <w:jc w:val="right"/>
        <w:rPr>
          <w:rFonts w:hint="eastAsia"/>
          <w:sz w:val="21"/>
          <w:szCs w:val="21"/>
          <w:lang w:val="en-US" w:eastAsia="zh-CN"/>
        </w:rPr>
      </w:pPr>
      <w:r>
        <w:rPr>
          <w:rFonts w:hint="eastAsia"/>
          <w:sz w:val="21"/>
          <w:szCs w:val="21"/>
          <w:lang w:val="en-US" w:eastAsia="zh-CN"/>
        </w:rPr>
        <w:t>单位：元</w:t>
      </w:r>
    </w:p>
    <w:tbl>
      <w:tblPr>
        <w:tblStyle w:val="16"/>
        <w:tblW w:w="4998" w:type="pct"/>
        <w:tblInd w:w="0" w:type="dxa"/>
        <w:shd w:val="clear" w:color="auto" w:fill="auto"/>
        <w:tblLayout w:type="autofit"/>
        <w:tblCellMar>
          <w:top w:w="0" w:type="dxa"/>
          <w:left w:w="0" w:type="dxa"/>
          <w:bottom w:w="0" w:type="dxa"/>
          <w:right w:w="0" w:type="dxa"/>
        </w:tblCellMar>
      </w:tblPr>
      <w:tblGrid>
        <w:gridCol w:w="3312"/>
        <w:gridCol w:w="1666"/>
        <w:gridCol w:w="1677"/>
        <w:gridCol w:w="1678"/>
      </w:tblGrid>
      <w:tr>
        <w:tblPrEx>
          <w:tblCellMar>
            <w:top w:w="0" w:type="dxa"/>
            <w:left w:w="0" w:type="dxa"/>
            <w:bottom w:w="0" w:type="dxa"/>
            <w:right w:w="0" w:type="dxa"/>
          </w:tblCellMar>
        </w:tblPrEx>
        <w:trPr>
          <w:trHeight w:val="531" w:hRule="atLeast"/>
        </w:trPr>
        <w:tc>
          <w:tcPr>
            <w:tcW w:w="2344" w:type="pct"/>
            <w:tcBorders>
              <w:top w:val="single" w:color="000000" w:sz="8" w:space="0"/>
              <w:left w:val="single" w:color="000000" w:sz="8"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b/>
                <w:bCs/>
                <w:sz w:val="20"/>
                <w:szCs w:val="22"/>
              </w:rPr>
            </w:pPr>
            <w:r>
              <w:rPr>
                <w:rFonts w:hint="default"/>
                <w:b/>
                <w:bCs/>
                <w:sz w:val="20"/>
                <w:szCs w:val="22"/>
                <w:lang w:val="en-US" w:eastAsia="zh-CN"/>
              </w:rPr>
              <w:t xml:space="preserve"> 资      产 </w:t>
            </w:r>
          </w:p>
        </w:tc>
        <w:tc>
          <w:tcPr>
            <w:tcW w:w="885"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20"/>
                <w:szCs w:val="22"/>
              </w:rPr>
            </w:pPr>
            <w:r>
              <w:rPr>
                <w:rFonts w:hint="default"/>
                <w:b/>
                <w:bCs/>
                <w:sz w:val="20"/>
                <w:szCs w:val="22"/>
                <w:lang w:val="en-US" w:eastAsia="zh-CN"/>
              </w:rPr>
              <w:t>2020年11月</w:t>
            </w:r>
            <w:r>
              <w:rPr>
                <w:rFonts w:hint="eastAsia"/>
                <w:b/>
                <w:bCs/>
                <w:sz w:val="20"/>
                <w:szCs w:val="22"/>
                <w:lang w:val="en-US" w:eastAsia="zh-CN"/>
              </w:rPr>
              <w:t>3</w:t>
            </w:r>
            <w:r>
              <w:rPr>
                <w:rFonts w:hint="default"/>
                <w:b/>
                <w:bCs/>
                <w:sz w:val="20"/>
                <w:szCs w:val="22"/>
                <w:lang w:val="en-US" w:eastAsia="zh-CN"/>
              </w:rPr>
              <w:t>0日</w:t>
            </w:r>
          </w:p>
        </w:tc>
        <w:tc>
          <w:tcPr>
            <w:tcW w:w="885"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20"/>
                <w:szCs w:val="22"/>
              </w:rPr>
            </w:pPr>
            <w:r>
              <w:rPr>
                <w:rFonts w:hint="default"/>
                <w:b/>
                <w:bCs/>
                <w:sz w:val="20"/>
                <w:szCs w:val="22"/>
                <w:lang w:val="en-US" w:eastAsia="zh-CN"/>
              </w:rPr>
              <w:t>2019年12月31日</w:t>
            </w:r>
          </w:p>
        </w:tc>
        <w:tc>
          <w:tcPr>
            <w:tcW w:w="885" w:type="pct"/>
            <w:tcBorders>
              <w:top w:val="single" w:color="000000" w:sz="8" w:space="0"/>
              <w:left w:val="single" w:color="000000" w:sz="4" w:space="0"/>
              <w:bottom w:val="single" w:color="000000" w:sz="4" w:space="0"/>
              <w:right w:val="single" w:color="000000" w:sz="8"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20"/>
                <w:szCs w:val="22"/>
              </w:rPr>
            </w:pPr>
            <w:r>
              <w:rPr>
                <w:rFonts w:hint="default"/>
                <w:b/>
                <w:bCs/>
                <w:sz w:val="20"/>
                <w:szCs w:val="22"/>
                <w:lang w:val="en-US" w:eastAsia="zh-CN"/>
              </w:rPr>
              <w:t>2018年12月31日</w:t>
            </w: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流动资产：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eastAsia"/>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货币资金</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3,471,337.46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230,827.17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118,878.12 </w:t>
            </w:r>
          </w:p>
        </w:tc>
      </w:tr>
      <w:tr>
        <w:tblPrEx>
          <w:tblCellMar>
            <w:top w:w="0" w:type="dxa"/>
            <w:left w:w="0" w:type="dxa"/>
            <w:bottom w:w="0" w:type="dxa"/>
            <w:right w:w="0" w:type="dxa"/>
          </w:tblCellMar>
        </w:tblPrEx>
        <w:trPr>
          <w:trHeight w:val="580"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以公允价值计量且其变动计入当期损益的金融资产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衍生金融资产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应收票据</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应收账款</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8,118,170.44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4,363,158.17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5,108,131.97 </w:t>
            </w: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预付款项</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4,994,446.90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5,983,611.44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633,203.44 </w:t>
            </w: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其他应收款</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2,117,566.68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453,743.00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307,123.00 </w:t>
            </w: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存货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11,216,029.70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10,658,418.53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6,974,509.35 </w:t>
            </w: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持有待售资产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一年内到期的非流动资产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其他流动资产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745,651.51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91,602.35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    流动资产合计</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30,663,202.69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21,781,360.66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13,141,845.88 </w:t>
            </w: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非流动资产：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可供出售金融资产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持有至到期投资</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长期应收款</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长期股权投资</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投资性房地产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固定资产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1,573,629.92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1,519,971.56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959,751.96 </w:t>
            </w: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在建工程</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5,794,273.25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5,794,273.25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5,774,273.25 </w:t>
            </w: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生产性生物资产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油气资产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无形资产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开发支出</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商誉</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长期待摊费用</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递延所得税资产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200"/>
              <w:jc w:val="left"/>
              <w:rPr>
                <w:rFonts w:hint="default"/>
                <w:sz w:val="20"/>
                <w:szCs w:val="22"/>
              </w:rPr>
            </w:pPr>
            <w:r>
              <w:rPr>
                <w:rFonts w:hint="default"/>
                <w:sz w:val="20"/>
                <w:szCs w:val="22"/>
                <w:lang w:val="en-US" w:eastAsia="zh-CN"/>
              </w:rPr>
              <w:t>其他非流动资产</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    非流动资产合计</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7,367,903.17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7,314,244.81 </w:t>
            </w:r>
          </w:p>
        </w:tc>
        <w:tc>
          <w:tcPr>
            <w:tcW w:w="88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6,734,025.21 </w:t>
            </w:r>
          </w:p>
        </w:tc>
      </w:tr>
      <w:tr>
        <w:tblPrEx>
          <w:shd w:val="clear" w:color="auto" w:fill="auto"/>
          <w:tblCellMar>
            <w:top w:w="0" w:type="dxa"/>
            <w:left w:w="0" w:type="dxa"/>
            <w:bottom w:w="0" w:type="dxa"/>
            <w:right w:w="0" w:type="dxa"/>
          </w:tblCellMar>
        </w:tblPrEx>
        <w:trPr>
          <w:trHeight w:val="531" w:hRule="atLeast"/>
        </w:trPr>
        <w:tc>
          <w:tcPr>
            <w:tcW w:w="2344" w:type="pct"/>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 xml:space="preserve">      资产总计</w:t>
            </w:r>
          </w:p>
        </w:tc>
        <w:tc>
          <w:tcPr>
            <w:tcW w:w="885"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38,031,105.86 </w:t>
            </w:r>
          </w:p>
        </w:tc>
        <w:tc>
          <w:tcPr>
            <w:tcW w:w="885"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29,095,605.47 </w:t>
            </w:r>
          </w:p>
        </w:tc>
        <w:tc>
          <w:tcPr>
            <w:tcW w:w="885" w:type="pct"/>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19,875,871.09 </w:t>
            </w:r>
          </w:p>
        </w:tc>
      </w:tr>
    </w:tbl>
    <w:p>
      <w:pPr>
        <w:pStyle w:val="2"/>
        <w:rPr>
          <w:rFonts w:hint="eastAsia"/>
          <w:lang w:val="en-US" w:eastAsia="zh-CN"/>
        </w:rPr>
      </w:pPr>
    </w:p>
    <w:p>
      <w:pPr>
        <w:rPr>
          <w:rFonts w:hint="eastAsia"/>
          <w:lang w:val="en-US" w:eastAsia="zh-CN"/>
        </w:rPr>
      </w:pPr>
      <w:r>
        <w:rPr>
          <w:rFonts w:hint="eastAsia"/>
          <w:lang w:val="en-US" w:eastAsia="zh-CN"/>
        </w:rPr>
        <w:t>资产负债表（续表）</w:t>
      </w:r>
    </w:p>
    <w:p>
      <w:pPr>
        <w:jc w:val="right"/>
        <w:rPr>
          <w:rFonts w:hint="eastAsia"/>
          <w:sz w:val="21"/>
          <w:szCs w:val="21"/>
          <w:lang w:val="en-US" w:eastAsia="zh-CN"/>
        </w:rPr>
      </w:pPr>
      <w:r>
        <w:rPr>
          <w:rFonts w:hint="eastAsia"/>
          <w:sz w:val="21"/>
          <w:szCs w:val="21"/>
          <w:lang w:val="en-US" w:eastAsia="zh-CN"/>
        </w:rPr>
        <w:t>单位：元</w:t>
      </w:r>
    </w:p>
    <w:tbl>
      <w:tblPr>
        <w:tblStyle w:val="16"/>
        <w:tblW w:w="5000" w:type="pct"/>
        <w:tblInd w:w="0" w:type="dxa"/>
        <w:shd w:val="clear" w:color="auto" w:fill="auto"/>
        <w:tblLayout w:type="autofit"/>
        <w:tblCellMar>
          <w:top w:w="0" w:type="dxa"/>
          <w:left w:w="0" w:type="dxa"/>
          <w:bottom w:w="0" w:type="dxa"/>
          <w:right w:w="0" w:type="dxa"/>
        </w:tblCellMar>
      </w:tblPr>
      <w:tblGrid>
        <w:gridCol w:w="3379"/>
        <w:gridCol w:w="1645"/>
        <w:gridCol w:w="1656"/>
        <w:gridCol w:w="1656"/>
      </w:tblGrid>
      <w:tr>
        <w:tblPrEx>
          <w:tblCellMar>
            <w:top w:w="0" w:type="dxa"/>
            <w:left w:w="0" w:type="dxa"/>
            <w:bottom w:w="0" w:type="dxa"/>
            <w:right w:w="0" w:type="dxa"/>
          </w:tblCellMar>
        </w:tblPrEx>
        <w:trPr>
          <w:trHeight w:val="510" w:hRule="atLeast"/>
        </w:trPr>
        <w:tc>
          <w:tcPr>
            <w:tcW w:w="2026" w:type="pct"/>
            <w:tcBorders>
              <w:top w:val="single" w:color="000000" w:sz="8" w:space="0"/>
              <w:left w:val="single" w:color="000000" w:sz="8"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b/>
                <w:bCs/>
                <w:sz w:val="20"/>
                <w:szCs w:val="22"/>
              </w:rPr>
            </w:pPr>
            <w:r>
              <w:rPr>
                <w:rFonts w:hint="default"/>
                <w:b/>
                <w:bCs/>
                <w:sz w:val="20"/>
                <w:szCs w:val="22"/>
                <w:lang w:val="en-US" w:eastAsia="zh-CN"/>
              </w:rPr>
              <w:t>负债和所有者权益（股东权益）</w:t>
            </w:r>
          </w:p>
        </w:tc>
        <w:tc>
          <w:tcPr>
            <w:tcW w:w="986"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20"/>
                <w:szCs w:val="22"/>
              </w:rPr>
            </w:pPr>
            <w:r>
              <w:rPr>
                <w:rFonts w:hint="default"/>
                <w:b/>
                <w:bCs/>
                <w:sz w:val="20"/>
                <w:szCs w:val="22"/>
                <w:lang w:val="en-US" w:eastAsia="zh-CN"/>
              </w:rPr>
              <w:t>2020年</w:t>
            </w:r>
            <w:r>
              <w:rPr>
                <w:rFonts w:hint="eastAsia"/>
                <w:b/>
                <w:bCs/>
                <w:sz w:val="20"/>
                <w:szCs w:val="22"/>
                <w:lang w:val="en-US" w:eastAsia="zh-CN"/>
              </w:rPr>
              <w:t>11</w:t>
            </w:r>
            <w:r>
              <w:rPr>
                <w:rFonts w:hint="default"/>
                <w:b/>
                <w:bCs/>
                <w:sz w:val="20"/>
                <w:szCs w:val="22"/>
                <w:lang w:val="en-US" w:eastAsia="zh-CN"/>
              </w:rPr>
              <w:t xml:space="preserve">月30日 </w:t>
            </w:r>
          </w:p>
        </w:tc>
        <w:tc>
          <w:tcPr>
            <w:tcW w:w="993"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20"/>
                <w:szCs w:val="22"/>
              </w:rPr>
            </w:pPr>
            <w:r>
              <w:rPr>
                <w:rFonts w:hint="default"/>
                <w:b/>
                <w:bCs/>
                <w:sz w:val="20"/>
                <w:szCs w:val="22"/>
                <w:lang w:val="en-US" w:eastAsia="zh-CN"/>
              </w:rPr>
              <w:t>2019年12月31日</w:t>
            </w:r>
          </w:p>
        </w:tc>
        <w:tc>
          <w:tcPr>
            <w:tcW w:w="993" w:type="pct"/>
            <w:tcBorders>
              <w:top w:val="single" w:color="000000" w:sz="8" w:space="0"/>
              <w:left w:val="single" w:color="000000" w:sz="4" w:space="0"/>
              <w:bottom w:val="single" w:color="000000" w:sz="4" w:space="0"/>
              <w:right w:val="single" w:color="000000" w:sz="8"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20"/>
                <w:szCs w:val="22"/>
              </w:rPr>
            </w:pPr>
            <w:r>
              <w:rPr>
                <w:rFonts w:hint="default"/>
                <w:b/>
                <w:bCs/>
                <w:sz w:val="20"/>
                <w:szCs w:val="22"/>
                <w:lang w:val="en-US" w:eastAsia="zh-CN"/>
              </w:rPr>
              <w:t>2018年12月31日</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流动负债：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eastAsia"/>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eastAsia"/>
                <w:sz w:val="20"/>
                <w:szCs w:val="22"/>
              </w:rPr>
            </w:pP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短期借款</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6,478,937.38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4,128,657.25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2,400,000.00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以公允价值计量且其变动计入当期损益的金融负债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衍生金融负债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应付票据</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应付账款</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1,397,896.12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252,156.00</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541,837.00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预收款项</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5,806,073.83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2,733,402.84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1,223,194.70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应付职工薪酬</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374,755.00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应交税费</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167,019.14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43,960.23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96,709.11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其他应付款</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lang w:val="en-US" w:eastAsia="zh-CN"/>
              </w:rPr>
            </w:pPr>
            <w:r>
              <w:rPr>
                <w:rFonts w:hint="default"/>
                <w:lang w:val="en-US" w:eastAsia="zh-CN"/>
              </w:rPr>
              <w:t xml:space="preserve">23,473,830.46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21,964,912.26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15,456,233.26 </w:t>
            </w: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持有待售负债 </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一年内到期的非流动负债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eastAsia"/>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其他流动负债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 xml:space="preserve">    流动负债合计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lang w:val="en-US" w:eastAsia="zh-CN"/>
              </w:rPr>
            </w:pPr>
            <w:r>
              <w:rPr>
                <w:rFonts w:hint="default"/>
                <w:lang w:val="en-US" w:eastAsia="zh-CN"/>
              </w:rPr>
              <w:t xml:space="preserve"> 37,698,511.93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29,123,088.58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19,717,974.07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非流动负债：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长期借款</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应付债券</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 其中：优先股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       永续债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长期应付款</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预计负债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递延收益</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54,600.00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54,600.00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60,666.65 </w:t>
            </w: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递延所得税负债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其它非流动负债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 xml:space="preserve">    非流动负债合计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54,600.00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54,600.00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60,666.65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 xml:space="preserve">      负债合计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3</w:t>
            </w:r>
            <w:r>
              <w:rPr>
                <w:rFonts w:hint="eastAsia"/>
                <w:sz w:val="20"/>
                <w:szCs w:val="22"/>
                <w:lang w:val="en-US" w:eastAsia="zh-CN"/>
              </w:rPr>
              <w:t>7</w:t>
            </w:r>
            <w:r>
              <w:rPr>
                <w:rFonts w:hint="default"/>
                <w:sz w:val="20"/>
                <w:szCs w:val="22"/>
                <w:lang w:val="en-US" w:eastAsia="zh-CN"/>
              </w:rPr>
              <w:t xml:space="preserve">,753,111.93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29,177,688.58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19,778,640.72 </w:t>
            </w: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所有者权益（或股东权益）：</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实收资本（或股本）</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2,000,000.00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2,000,000.00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2,000,000.00 </w:t>
            </w:r>
          </w:p>
        </w:tc>
      </w:tr>
      <w:tr>
        <w:tblPrEx>
          <w:shd w:val="clear" w:color="auto" w:fill="auto"/>
          <w:tblCellMar>
            <w:top w:w="0" w:type="dxa"/>
            <w:left w:w="0" w:type="dxa"/>
            <w:bottom w:w="0" w:type="dxa"/>
            <w:right w:w="0" w:type="dxa"/>
          </w:tblCellMar>
        </w:tblPrEx>
        <w:trPr>
          <w:trHeight w:val="9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其他权益工具</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 其中：优先股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 xml:space="preserve">       永续债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资本公积</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lang w:val="en-US" w:eastAsia="zh-CN"/>
              </w:rPr>
            </w:pPr>
            <w:r>
              <w:rPr>
                <w:rFonts w:hint="default"/>
                <w:sz w:val="20"/>
                <w:szCs w:val="22"/>
                <w:lang w:val="en-US" w:eastAsia="zh-CN"/>
              </w:rPr>
              <w:t xml:space="preserve"> 1,000,000.00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lang w:val="en-US" w:eastAsia="zh-CN"/>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减：库存股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其他综合收益</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专项储备</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p>
        </w:tc>
      </w:tr>
      <w:tr>
        <w:tblPrEx>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盈余公积</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97,107.05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97,107.05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97,107.05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pStyle w:val="2"/>
              <w:bidi w:val="0"/>
              <w:ind w:leftChars="100"/>
              <w:jc w:val="left"/>
              <w:rPr>
                <w:rFonts w:hint="default"/>
                <w:sz w:val="20"/>
                <w:szCs w:val="22"/>
              </w:rPr>
            </w:pPr>
            <w:r>
              <w:rPr>
                <w:rFonts w:hint="default"/>
                <w:sz w:val="20"/>
                <w:szCs w:val="22"/>
                <w:lang w:val="en-US" w:eastAsia="zh-CN"/>
              </w:rPr>
              <w:t>未分配利润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-2,819,113.12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-2,179,190.16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-1,999,876.68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 xml:space="preserve">   所有者权益（或股东权益）合计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firstLine="400" w:firstLineChars="200"/>
              <w:jc w:val="center"/>
              <w:textAlignment w:val="center"/>
              <w:rPr>
                <w:rFonts w:hint="default" w:ascii="Arial Narrow" w:hAnsi="Arial Narrow" w:eastAsia="Arial Narrow" w:cs="Arial Narrow"/>
                <w:i w:val="0"/>
                <w:color w:val="000000"/>
                <w:kern w:val="2"/>
                <w:sz w:val="24"/>
                <w:szCs w:val="24"/>
                <w:u w:val="none"/>
                <w:lang w:val="en-US" w:eastAsia="zh-CN" w:bidi="ar-SA"/>
              </w:rPr>
            </w:pPr>
            <w:r>
              <w:rPr>
                <w:rFonts w:hint="default" w:ascii="Times New Roman" w:hAnsi="Times New Roman" w:eastAsia="宋体" w:cs="Times New Roman"/>
                <w:kern w:val="2"/>
                <w:sz w:val="20"/>
                <w:szCs w:val="22"/>
                <w:lang w:val="en-US" w:eastAsia="zh-CN" w:bidi="ar-SA"/>
              </w:rPr>
              <w:t xml:space="preserve"> 277,993.93</w:t>
            </w:r>
            <w:r>
              <w:rPr>
                <w:rFonts w:hint="default" w:ascii="Arial Narrow" w:hAnsi="Arial Narrow" w:eastAsia="Arial Narrow" w:cs="Arial Narrow"/>
                <w:i w:val="0"/>
                <w:color w:val="000000"/>
                <w:kern w:val="0"/>
                <w:sz w:val="24"/>
                <w:szCs w:val="24"/>
                <w:u w:val="none"/>
                <w:lang w:val="en-US" w:eastAsia="zh-CN" w:bidi="ar"/>
              </w:rPr>
              <w:t xml:space="preserve">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-82,083.11 </w:t>
            </w:r>
          </w:p>
        </w:tc>
        <w:tc>
          <w:tcPr>
            <w:tcW w:w="993"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97,230.37 </w:t>
            </w:r>
          </w:p>
        </w:tc>
      </w:tr>
      <w:tr>
        <w:tblPrEx>
          <w:shd w:val="clear" w:color="auto" w:fill="auto"/>
          <w:tblCellMar>
            <w:top w:w="0" w:type="dxa"/>
            <w:left w:w="0" w:type="dxa"/>
            <w:bottom w:w="0" w:type="dxa"/>
            <w:right w:w="0" w:type="dxa"/>
          </w:tblCellMar>
        </w:tblPrEx>
        <w:trPr>
          <w:trHeight w:val="510" w:hRule="atLeast"/>
        </w:trPr>
        <w:tc>
          <w:tcPr>
            <w:tcW w:w="2026" w:type="pct"/>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2"/>
              </w:rPr>
            </w:pPr>
            <w:r>
              <w:rPr>
                <w:rFonts w:hint="default"/>
                <w:sz w:val="20"/>
                <w:szCs w:val="22"/>
                <w:lang w:val="en-US" w:eastAsia="zh-CN"/>
              </w:rPr>
              <w:t>负债和所有者权益（或股东权益）总计</w:t>
            </w:r>
          </w:p>
        </w:tc>
        <w:tc>
          <w:tcPr>
            <w:tcW w:w="986"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38,031,105.86 </w:t>
            </w:r>
          </w:p>
        </w:tc>
        <w:tc>
          <w:tcPr>
            <w:tcW w:w="993"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29,095,605.47 </w:t>
            </w:r>
          </w:p>
        </w:tc>
        <w:tc>
          <w:tcPr>
            <w:tcW w:w="993" w:type="pct"/>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2"/>
              </w:rPr>
            </w:pPr>
            <w:r>
              <w:rPr>
                <w:rFonts w:hint="default"/>
                <w:sz w:val="20"/>
                <w:szCs w:val="22"/>
                <w:lang w:val="en-US" w:eastAsia="zh-CN"/>
              </w:rPr>
              <w:t xml:space="preserve"> 19,875,871.09 </w:t>
            </w:r>
          </w:p>
        </w:tc>
      </w:tr>
    </w:tbl>
    <w:p>
      <w:pPr>
        <w:rPr>
          <w:rFonts w:hint="eastAsia"/>
          <w:sz w:val="24"/>
          <w:szCs w:val="24"/>
          <w:lang w:val="en-US" w:eastAsia="zh-CN"/>
        </w:rPr>
      </w:pPr>
      <w:r>
        <w:rPr>
          <w:rFonts w:hint="eastAsia"/>
          <w:sz w:val="24"/>
          <w:szCs w:val="24"/>
          <w:lang w:val="en-US" w:eastAsia="zh-CN"/>
        </w:rPr>
        <w:t>2、利润表</w:t>
      </w:r>
    </w:p>
    <w:p>
      <w:pPr>
        <w:jc w:val="right"/>
        <w:rPr>
          <w:rFonts w:hint="eastAsia"/>
          <w:sz w:val="21"/>
          <w:szCs w:val="21"/>
          <w:lang w:val="en-US" w:eastAsia="zh-CN"/>
        </w:rPr>
      </w:pPr>
      <w:r>
        <w:rPr>
          <w:rFonts w:hint="eastAsia"/>
          <w:sz w:val="21"/>
          <w:szCs w:val="21"/>
          <w:lang w:val="en-US" w:eastAsia="zh-CN"/>
        </w:rPr>
        <w:t>单位：元</w:t>
      </w:r>
    </w:p>
    <w:tbl>
      <w:tblPr>
        <w:tblStyle w:val="16"/>
        <w:tblW w:w="5000" w:type="pct"/>
        <w:tblInd w:w="0" w:type="dxa"/>
        <w:shd w:val="clear" w:color="auto" w:fill="auto"/>
        <w:tblLayout w:type="fixed"/>
        <w:tblCellMar>
          <w:top w:w="0" w:type="dxa"/>
          <w:left w:w="0" w:type="dxa"/>
          <w:bottom w:w="0" w:type="dxa"/>
          <w:right w:w="0" w:type="dxa"/>
        </w:tblCellMar>
      </w:tblPr>
      <w:tblGrid>
        <w:gridCol w:w="3598"/>
        <w:gridCol w:w="2460"/>
        <w:gridCol w:w="2278"/>
      </w:tblGrid>
      <w:tr>
        <w:tblPrEx>
          <w:shd w:val="clear" w:color="auto" w:fill="auto"/>
          <w:tblCellMar>
            <w:top w:w="0" w:type="dxa"/>
            <w:left w:w="0" w:type="dxa"/>
            <w:bottom w:w="0" w:type="dxa"/>
            <w:right w:w="0" w:type="dxa"/>
          </w:tblCellMar>
        </w:tblPrEx>
        <w:trPr>
          <w:trHeight w:val="570" w:hRule="atLeast"/>
        </w:trPr>
        <w:tc>
          <w:tcPr>
            <w:tcW w:w="2158" w:type="pct"/>
            <w:vMerge w:val="restart"/>
            <w:tcBorders>
              <w:top w:val="single" w:color="000000" w:sz="8" w:space="0"/>
              <w:left w:val="single" w:color="000000" w:sz="8"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b/>
                <w:bCs/>
              </w:rPr>
            </w:pPr>
            <w:r>
              <w:rPr>
                <w:rFonts w:hint="default"/>
                <w:b/>
                <w:bCs/>
                <w:lang w:val="en-US" w:eastAsia="zh-CN"/>
              </w:rPr>
              <w:t xml:space="preserve"> 项  目 </w:t>
            </w:r>
          </w:p>
        </w:tc>
        <w:tc>
          <w:tcPr>
            <w:tcW w:w="1475"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b/>
                <w:bCs/>
              </w:rPr>
            </w:pPr>
            <w:r>
              <w:rPr>
                <w:rFonts w:hint="default"/>
                <w:b/>
                <w:bCs/>
                <w:lang w:val="en-US" w:eastAsia="zh-CN"/>
              </w:rPr>
              <w:t>2020</w:t>
            </w:r>
            <w:r>
              <w:rPr>
                <w:rFonts w:hint="eastAsia"/>
                <w:b/>
                <w:bCs/>
                <w:lang w:val="en-US" w:eastAsia="zh-CN"/>
              </w:rPr>
              <w:t>年</w:t>
            </w:r>
            <w:r>
              <w:rPr>
                <w:rFonts w:hint="default"/>
                <w:b/>
                <w:bCs/>
                <w:lang w:val="en-US" w:eastAsia="zh-CN"/>
              </w:rPr>
              <w:t>1-11</w:t>
            </w:r>
            <w:r>
              <w:rPr>
                <w:rFonts w:hint="eastAsia"/>
                <w:b/>
                <w:bCs/>
                <w:lang w:val="en-US" w:eastAsia="zh-CN"/>
              </w:rPr>
              <w:t>月</w:t>
            </w:r>
          </w:p>
        </w:tc>
        <w:tc>
          <w:tcPr>
            <w:tcW w:w="1366"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rPr>
            </w:pPr>
            <w:r>
              <w:rPr>
                <w:rFonts w:hint="default"/>
                <w:b/>
                <w:bCs/>
                <w:lang w:val="en-US" w:eastAsia="zh-CN"/>
              </w:rPr>
              <w:t>2019</w:t>
            </w:r>
            <w:r>
              <w:rPr>
                <w:rFonts w:hint="eastAsia"/>
                <w:b/>
                <w:bCs/>
                <w:lang w:val="en-US" w:eastAsia="zh-CN"/>
              </w:rPr>
              <w:t>年度</w:t>
            </w:r>
          </w:p>
        </w:tc>
      </w:tr>
      <w:tr>
        <w:tblPrEx>
          <w:shd w:val="clear" w:color="auto" w:fill="auto"/>
          <w:tblCellMar>
            <w:top w:w="0" w:type="dxa"/>
            <w:left w:w="0" w:type="dxa"/>
            <w:bottom w:w="0" w:type="dxa"/>
            <w:right w:w="0" w:type="dxa"/>
          </w:tblCellMar>
        </w:tblPrEx>
        <w:trPr>
          <w:trHeight w:val="570" w:hRule="atLeast"/>
        </w:trPr>
        <w:tc>
          <w:tcPr>
            <w:tcW w:w="2158" w:type="pct"/>
            <w:vMerge w:val="continue"/>
            <w:tcBorders>
              <w:top w:val="single" w:color="000000" w:sz="8" w:space="0"/>
              <w:left w:val="single" w:color="000000" w:sz="8"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rPr>
            </w:pPr>
          </w:p>
        </w:tc>
        <w:tc>
          <w:tcPr>
            <w:tcW w:w="147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rPr>
            </w:pPr>
            <w:r>
              <w:rPr>
                <w:rFonts w:hint="default"/>
                <w:b/>
                <w:bCs/>
                <w:lang w:val="en-US" w:eastAsia="zh-CN"/>
              </w:rPr>
              <w:t>本期数</w:t>
            </w:r>
          </w:p>
        </w:tc>
        <w:tc>
          <w:tcPr>
            <w:tcW w:w="1366" w:type="pct"/>
            <w:tcBorders>
              <w:top w:val="single" w:color="000000" w:sz="4" w:space="0"/>
              <w:left w:val="single" w:color="000000" w:sz="4" w:space="0"/>
              <w:bottom w:val="single" w:color="000000" w:sz="4" w:space="0"/>
              <w:right w:val="single" w:color="000000" w:sz="8" w:space="0"/>
            </w:tcBorders>
            <w:shd w:val="clear" w:color="auto" w:fill="A4A4A4" w:themeFill="background1" w:themeFillShade="A5"/>
            <w:noWrap/>
            <w:tcMar>
              <w:top w:w="12" w:type="dxa"/>
              <w:left w:w="12" w:type="dxa"/>
              <w:right w:w="12" w:type="dxa"/>
            </w:tcMar>
            <w:vAlign w:val="center"/>
          </w:tcPr>
          <w:p>
            <w:pPr>
              <w:pStyle w:val="2"/>
              <w:bidi w:val="0"/>
              <w:rPr>
                <w:rFonts w:hint="default"/>
                <w:b/>
                <w:bCs/>
              </w:rPr>
            </w:pPr>
            <w:r>
              <w:rPr>
                <w:rFonts w:hint="default"/>
                <w:b/>
                <w:bCs/>
                <w:lang w:val="en-US" w:eastAsia="zh-CN"/>
              </w:rPr>
              <w:t>本期数</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b/>
                <w:bCs/>
                <w:sz w:val="20"/>
                <w:szCs w:val="20"/>
                <w:lang w:val="en-US" w:eastAsia="zh-CN"/>
              </w:rPr>
              <w:t>一、营业收入</w:t>
            </w:r>
          </w:p>
        </w:tc>
        <w:tc>
          <w:tcPr>
            <w:tcW w:w="14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bidi w:val="0"/>
              <w:jc w:val="right"/>
              <w:rPr>
                <w:b/>
                <w:bCs/>
                <w:sz w:val="20"/>
                <w:szCs w:val="20"/>
              </w:rPr>
            </w:pPr>
            <w:r>
              <w:rPr>
                <w:rFonts w:hint="default"/>
                <w:b/>
                <w:bCs/>
                <w:sz w:val="20"/>
                <w:szCs w:val="20"/>
                <w:lang w:val="en-US" w:eastAsia="zh-CN"/>
              </w:rPr>
              <w:t xml:space="preserve">15,797,079.04 </w:t>
            </w: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21,657,422.48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减：营业成本</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13,680,800.00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19,115,630.29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税金及附加</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63,450.87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113,122.28 </w:t>
            </w:r>
          </w:p>
        </w:tc>
      </w:tr>
      <w:tr>
        <w:tblPrEx>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销售费用</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471,225.36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376,670.82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管理费用</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871,409.21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738,199.49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研发费用</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994,339.82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1,191,240.59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财务费用</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385,057.53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280,888.78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资产减值损失</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加：其他收益</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投资收益（损失以“-”号填列）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其中：对联营企业和合营企业的投资收益</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公允价值变动收益（损失以“-”号填列）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w:t>
            </w:r>
            <w:r>
              <w:rPr>
                <w:rFonts w:hint="eastAsia"/>
                <w:sz w:val="20"/>
                <w:szCs w:val="20"/>
                <w:lang w:val="en-US" w:eastAsia="zh-CN"/>
              </w:rPr>
              <w:t>资产减值损失（损失以</w:t>
            </w:r>
            <w:r>
              <w:rPr>
                <w:rFonts w:hint="default"/>
                <w:sz w:val="20"/>
                <w:szCs w:val="20"/>
                <w:lang w:val="en-US" w:eastAsia="zh-CN"/>
              </w:rPr>
              <w:t>“-”</w:t>
            </w:r>
            <w:r>
              <w:rPr>
                <w:rFonts w:hint="eastAsia"/>
                <w:sz w:val="20"/>
                <w:szCs w:val="20"/>
                <w:lang w:val="en-US" w:eastAsia="zh-CN"/>
              </w:rPr>
              <w:t>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tblCellMar>
            <w:top w:w="0" w:type="dxa"/>
            <w:left w:w="0" w:type="dxa"/>
            <w:bottom w:w="0" w:type="dxa"/>
            <w:right w:w="0" w:type="dxa"/>
          </w:tblCellMar>
        </w:tblPrEx>
        <w:trPr>
          <w:trHeight w:val="501"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资产处置收益（损失以“-”号填列）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p>
        </w:tc>
      </w:tr>
      <w:tr>
        <w:tblPrEx>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b/>
                <w:bCs/>
                <w:sz w:val="20"/>
                <w:szCs w:val="20"/>
                <w:lang w:val="en-US" w:eastAsia="zh-CN"/>
              </w:rPr>
              <w:t>二、营业利润（亏损以“-”号填列）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-669,203.75 </w:t>
            </w: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-158,329.77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 xml:space="preserve">   营业外收入</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42,482.18 </w:t>
            </w:r>
          </w:p>
        </w:tc>
        <w:tc>
          <w:tcPr>
            <w:tcW w:w="1366"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105,667.90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减：营业外支出</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88,000.00 </w:t>
            </w:r>
          </w:p>
        </w:tc>
      </w:tr>
      <w:tr>
        <w:tblPrEx>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b/>
                <w:bCs/>
                <w:sz w:val="20"/>
                <w:szCs w:val="20"/>
                <w:lang w:val="en-US" w:eastAsia="zh-CN"/>
              </w:rPr>
              <w:t>三、利润总额（亏损总额以“-”号填列）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-626,721.57 </w:t>
            </w: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-140,661.87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sz w:val="20"/>
                <w:szCs w:val="20"/>
              </w:rPr>
            </w:pPr>
            <w:r>
              <w:rPr>
                <w:rFonts w:hint="default"/>
                <w:sz w:val="20"/>
                <w:szCs w:val="20"/>
                <w:lang w:val="en-US" w:eastAsia="zh-CN"/>
              </w:rPr>
              <w:t>减：所得税费用</w:t>
            </w: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13,201.39 </w:t>
            </w: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sz w:val="20"/>
                <w:szCs w:val="20"/>
              </w:rPr>
            </w:pPr>
            <w:r>
              <w:rPr>
                <w:rFonts w:hint="default"/>
                <w:sz w:val="20"/>
                <w:szCs w:val="20"/>
                <w:lang w:val="en-US" w:eastAsia="zh-CN"/>
              </w:rPr>
              <w:t xml:space="preserve">38,983.36 </w:t>
            </w:r>
          </w:p>
        </w:tc>
      </w:tr>
      <w:tr>
        <w:tblPrEx>
          <w:shd w:val="clear" w:color="auto" w:fill="auto"/>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b/>
                <w:bCs/>
                <w:sz w:val="20"/>
                <w:szCs w:val="20"/>
              </w:rPr>
            </w:pPr>
            <w:r>
              <w:rPr>
                <w:rFonts w:hint="default"/>
                <w:b/>
                <w:bCs/>
                <w:sz w:val="20"/>
                <w:szCs w:val="20"/>
                <w:lang w:val="en-US" w:eastAsia="zh-CN"/>
              </w:rPr>
              <w:t>四、净利润（净亏损以“-”号填列）</w:t>
            </w:r>
          </w:p>
        </w:tc>
        <w:tc>
          <w:tcPr>
            <w:tcW w:w="14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-639,922.96 </w:t>
            </w: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-179,645.23 </w:t>
            </w:r>
          </w:p>
        </w:tc>
      </w:tr>
      <w:tr>
        <w:tblPrEx>
          <w:tblCellMar>
            <w:top w:w="0" w:type="dxa"/>
            <w:left w:w="0" w:type="dxa"/>
            <w:bottom w:w="0" w:type="dxa"/>
            <w:right w:w="0" w:type="dxa"/>
          </w:tblCellMar>
        </w:tblPrEx>
        <w:trPr>
          <w:trHeight w:val="570" w:hRule="atLeast"/>
        </w:trPr>
        <w:tc>
          <w:tcPr>
            <w:tcW w:w="2158"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b/>
                <w:bCs/>
                <w:sz w:val="20"/>
                <w:szCs w:val="20"/>
              </w:rPr>
            </w:pPr>
            <w:r>
              <w:rPr>
                <w:rFonts w:hint="default"/>
                <w:b/>
                <w:bCs/>
                <w:sz w:val="20"/>
                <w:szCs w:val="20"/>
                <w:lang w:val="en-US" w:eastAsia="zh-CN"/>
              </w:rPr>
              <w:t>五、综合收益总额</w:t>
            </w:r>
          </w:p>
        </w:tc>
        <w:tc>
          <w:tcPr>
            <w:tcW w:w="14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-639,922.96 </w:t>
            </w:r>
          </w:p>
        </w:tc>
        <w:tc>
          <w:tcPr>
            <w:tcW w:w="1366" w:type="pct"/>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pStyle w:val="2"/>
              <w:bidi w:val="0"/>
              <w:jc w:val="right"/>
              <w:rPr>
                <w:rFonts w:hint="default"/>
                <w:b/>
                <w:bCs/>
                <w:sz w:val="20"/>
                <w:szCs w:val="20"/>
              </w:rPr>
            </w:pPr>
            <w:r>
              <w:rPr>
                <w:rFonts w:hint="default"/>
                <w:b/>
                <w:bCs/>
                <w:sz w:val="20"/>
                <w:szCs w:val="20"/>
                <w:lang w:val="en-US" w:eastAsia="zh-CN"/>
              </w:rPr>
              <w:t xml:space="preserve">-179,645.23 </w:t>
            </w:r>
          </w:p>
        </w:tc>
      </w:tr>
      <w:tr>
        <w:tblPrEx>
          <w:tblCellMar>
            <w:top w:w="0" w:type="dxa"/>
            <w:left w:w="0" w:type="dxa"/>
            <w:bottom w:w="0" w:type="dxa"/>
            <w:right w:w="0" w:type="dxa"/>
          </w:tblCellMar>
        </w:tblPrEx>
        <w:trPr>
          <w:trHeight w:val="490" w:hRule="atLeast"/>
        </w:trPr>
        <w:tc>
          <w:tcPr>
            <w:tcW w:w="2158" w:type="pct"/>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jc w:val="left"/>
              <w:rPr>
                <w:rFonts w:hint="default"/>
                <w:b/>
                <w:bCs/>
                <w:sz w:val="20"/>
                <w:szCs w:val="20"/>
              </w:rPr>
            </w:pPr>
            <w:r>
              <w:rPr>
                <w:rFonts w:hint="default"/>
                <w:b/>
                <w:bCs/>
                <w:sz w:val="20"/>
                <w:szCs w:val="20"/>
                <w:lang w:val="en-US" w:eastAsia="zh-CN"/>
              </w:rPr>
              <w:t>六、每股收益：</w:t>
            </w:r>
          </w:p>
        </w:tc>
        <w:tc>
          <w:tcPr>
            <w:tcW w:w="1475" w:type="pct"/>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pStyle w:val="2"/>
              <w:bidi w:val="0"/>
              <w:jc w:val="right"/>
              <w:rPr>
                <w:rFonts w:hint="default"/>
                <w:b/>
                <w:bCs/>
                <w:sz w:val="20"/>
                <w:szCs w:val="20"/>
              </w:rPr>
            </w:pPr>
          </w:p>
        </w:tc>
        <w:tc>
          <w:tcPr>
            <w:tcW w:w="1366" w:type="pct"/>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pStyle w:val="2"/>
              <w:bidi w:val="0"/>
              <w:jc w:val="right"/>
              <w:rPr>
                <w:rFonts w:hint="default"/>
                <w:b/>
                <w:bCs/>
                <w:sz w:val="20"/>
                <w:szCs w:val="20"/>
              </w:rPr>
            </w:pPr>
          </w:p>
        </w:tc>
      </w:tr>
    </w:tbl>
    <w:p>
      <w:pPr>
        <w:jc w:val="right"/>
        <w:rPr>
          <w:rFonts w:hint="eastAsia"/>
          <w:sz w:val="21"/>
          <w:szCs w:val="21"/>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sz w:val="24"/>
          <w:szCs w:val="24"/>
          <w:lang w:val="en-US" w:eastAsia="zh-CN"/>
        </w:rPr>
        <w:sectPr>
          <w:headerReference r:id="rId7" w:type="default"/>
          <w:footerReference r:id="rId8" w:type="default"/>
          <w:type w:val="continuous"/>
          <w:pgSz w:w="11906" w:h="16838"/>
          <w:pgMar w:top="1440" w:right="1797" w:bottom="1440" w:left="1797" w:header="851" w:footer="992" w:gutter="0"/>
          <w:pgBorders w:offsetFrom="page">
            <w:top w:val="none" w:sz="0" w:space="0"/>
            <w:left w:val="none" w:sz="0" w:space="0"/>
            <w:bottom w:val="none" w:sz="0" w:space="0"/>
            <w:right w:val="none" w:sz="0" w:space="0"/>
          </w:pgBorders>
          <w:pgNumType w:fmt="decimal" w:start="1"/>
          <w:cols w:space="720" w:num="1"/>
          <w:docGrid w:type="lines" w:linePitch="312" w:charSpace="0"/>
        </w:sectPr>
      </w:pPr>
      <w:r>
        <w:rPr>
          <w:rFonts w:hint="eastAsia"/>
          <w:sz w:val="21"/>
          <w:szCs w:val="21"/>
          <w:lang w:val="en-US" w:eastAsia="zh-CN"/>
        </w:rPr>
        <w:br w:type="page"/>
      </w:r>
    </w:p>
    <w:p>
      <w:pPr>
        <w:bidi w:val="0"/>
        <w:rPr>
          <w:rFonts w:hint="eastAsia"/>
          <w:lang w:val="en-US" w:eastAsia="zh-CN"/>
        </w:rPr>
      </w:pPr>
      <w:r>
        <w:rPr>
          <w:rFonts w:hint="eastAsia"/>
          <w:lang w:val="en-US" w:eastAsia="zh-CN"/>
        </w:rPr>
        <w:t>3、现金流量表</w:t>
      </w:r>
    </w:p>
    <w:p>
      <w:pPr>
        <w:bidi w:val="0"/>
        <w:jc w:val="right"/>
        <w:rPr>
          <w:rFonts w:hint="eastAsia"/>
          <w:lang w:val="en-US" w:eastAsia="zh-CN"/>
        </w:rPr>
      </w:pPr>
      <w:r>
        <w:rPr>
          <w:rFonts w:hint="eastAsia"/>
          <w:lang w:val="en-US" w:eastAsia="zh-CN"/>
        </w:rPr>
        <w:t>单位：元</w:t>
      </w:r>
    </w:p>
    <w:p>
      <w:pPr>
        <w:rPr>
          <w:rFonts w:hint="eastAsia"/>
          <w:lang w:val="en-US" w:eastAsia="zh-CN"/>
        </w:rPr>
      </w:pPr>
    </w:p>
    <w:tbl>
      <w:tblPr>
        <w:tblStyle w:val="16"/>
        <w:tblW w:w="5000" w:type="pct"/>
        <w:tblInd w:w="0" w:type="dxa"/>
        <w:shd w:val="clear" w:color="auto" w:fill="auto"/>
        <w:tblLayout w:type="fixed"/>
        <w:tblCellMar>
          <w:top w:w="0" w:type="dxa"/>
          <w:left w:w="0" w:type="dxa"/>
          <w:bottom w:w="0" w:type="dxa"/>
          <w:right w:w="0" w:type="dxa"/>
        </w:tblCellMar>
      </w:tblPr>
      <w:tblGrid>
        <w:gridCol w:w="3823"/>
        <w:gridCol w:w="442"/>
        <w:gridCol w:w="1392"/>
        <w:gridCol w:w="1263"/>
        <w:gridCol w:w="3585"/>
        <w:gridCol w:w="528"/>
        <w:gridCol w:w="1620"/>
        <w:gridCol w:w="1329"/>
      </w:tblGrid>
      <w:tr>
        <w:tblPrEx>
          <w:shd w:val="clear" w:color="auto" w:fill="auto"/>
          <w:tblCellMar>
            <w:top w:w="0" w:type="dxa"/>
            <w:left w:w="0" w:type="dxa"/>
            <w:bottom w:w="0" w:type="dxa"/>
            <w:right w:w="0" w:type="dxa"/>
          </w:tblCellMar>
        </w:tblPrEx>
        <w:trPr>
          <w:trHeight w:val="411" w:hRule="atLeast"/>
        </w:trPr>
        <w:tc>
          <w:tcPr>
            <w:tcW w:w="1367" w:type="pct"/>
            <w:tcBorders>
              <w:top w:val="single" w:color="000000" w:sz="8" w:space="0"/>
              <w:left w:val="single" w:color="000000" w:sz="8"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b/>
                <w:bCs/>
                <w:sz w:val="18"/>
                <w:szCs w:val="21"/>
              </w:rPr>
            </w:pPr>
            <w:r>
              <w:rPr>
                <w:rFonts w:hint="default"/>
                <w:b/>
                <w:bCs/>
                <w:sz w:val="18"/>
                <w:szCs w:val="21"/>
                <w:lang w:val="en-US" w:eastAsia="zh-CN"/>
              </w:rPr>
              <w:t>项    目</w:t>
            </w:r>
          </w:p>
        </w:tc>
        <w:tc>
          <w:tcPr>
            <w:tcW w:w="158"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18"/>
                <w:szCs w:val="21"/>
              </w:rPr>
            </w:pPr>
            <w:r>
              <w:rPr>
                <w:rFonts w:hint="default"/>
                <w:b/>
                <w:bCs/>
                <w:sz w:val="18"/>
                <w:szCs w:val="21"/>
                <w:lang w:val="en-US" w:eastAsia="zh-CN"/>
              </w:rPr>
              <w:t>行次</w:t>
            </w:r>
          </w:p>
        </w:tc>
        <w:tc>
          <w:tcPr>
            <w:tcW w:w="497"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b/>
                <w:bCs/>
                <w:sz w:val="18"/>
                <w:szCs w:val="21"/>
              </w:rPr>
            </w:pPr>
            <w:r>
              <w:rPr>
                <w:rFonts w:hint="default"/>
                <w:b/>
                <w:bCs/>
                <w:sz w:val="18"/>
                <w:szCs w:val="21"/>
                <w:lang w:val="en-US" w:eastAsia="zh-CN"/>
              </w:rPr>
              <w:t>2020</w:t>
            </w:r>
            <w:r>
              <w:rPr>
                <w:rFonts w:hint="eastAsia"/>
                <w:b/>
                <w:bCs/>
                <w:sz w:val="18"/>
                <w:szCs w:val="21"/>
                <w:lang w:val="en-US" w:eastAsia="zh-CN"/>
              </w:rPr>
              <w:t>年</w:t>
            </w:r>
            <w:r>
              <w:rPr>
                <w:rFonts w:hint="default"/>
                <w:b/>
                <w:bCs/>
                <w:sz w:val="18"/>
                <w:szCs w:val="21"/>
                <w:lang w:val="en-US" w:eastAsia="zh-CN"/>
              </w:rPr>
              <w:t>1-11</w:t>
            </w:r>
            <w:r>
              <w:rPr>
                <w:rFonts w:hint="eastAsia"/>
                <w:b/>
                <w:bCs/>
                <w:sz w:val="18"/>
                <w:szCs w:val="21"/>
                <w:lang w:val="en-US" w:eastAsia="zh-CN"/>
              </w:rPr>
              <w:t>月</w:t>
            </w:r>
          </w:p>
        </w:tc>
        <w:tc>
          <w:tcPr>
            <w:tcW w:w="451"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18"/>
                <w:szCs w:val="21"/>
              </w:rPr>
            </w:pPr>
            <w:r>
              <w:rPr>
                <w:rFonts w:hint="default"/>
                <w:b/>
                <w:bCs/>
                <w:sz w:val="18"/>
                <w:szCs w:val="21"/>
                <w:lang w:val="en-US" w:eastAsia="zh-CN"/>
              </w:rPr>
              <w:t>2019</w:t>
            </w:r>
            <w:r>
              <w:rPr>
                <w:b/>
                <w:bCs/>
                <w:sz w:val="18"/>
                <w:szCs w:val="21"/>
                <w:lang w:val="en-US" w:eastAsia="zh-CN"/>
              </w:rPr>
              <w:t>年度</w:t>
            </w:r>
          </w:p>
        </w:tc>
        <w:tc>
          <w:tcPr>
            <w:tcW w:w="1282"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18"/>
                <w:szCs w:val="21"/>
              </w:rPr>
            </w:pPr>
            <w:r>
              <w:rPr>
                <w:rFonts w:hint="default"/>
                <w:b/>
                <w:bCs/>
                <w:sz w:val="18"/>
                <w:szCs w:val="21"/>
                <w:lang w:val="en-US" w:eastAsia="zh-CN"/>
              </w:rPr>
              <w:t>补充资料</w:t>
            </w:r>
          </w:p>
        </w:tc>
        <w:tc>
          <w:tcPr>
            <w:tcW w:w="188"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18"/>
                <w:szCs w:val="21"/>
              </w:rPr>
            </w:pPr>
            <w:r>
              <w:rPr>
                <w:rFonts w:hint="default"/>
                <w:b/>
                <w:bCs/>
                <w:sz w:val="18"/>
                <w:szCs w:val="21"/>
                <w:lang w:val="en-US" w:eastAsia="zh-CN"/>
              </w:rPr>
              <w:t>行次</w:t>
            </w:r>
          </w:p>
        </w:tc>
        <w:tc>
          <w:tcPr>
            <w:tcW w:w="579" w:type="pct"/>
            <w:tcBorders>
              <w:top w:val="single" w:color="000000" w:sz="8" w:space="0"/>
              <w:left w:val="single" w:color="000000" w:sz="4" w:space="0"/>
              <w:bottom w:val="single" w:color="000000" w:sz="4" w:space="0"/>
              <w:right w:val="single" w:color="000000" w:sz="4"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18"/>
                <w:szCs w:val="21"/>
              </w:rPr>
            </w:pPr>
            <w:r>
              <w:rPr>
                <w:rFonts w:hint="default"/>
                <w:b/>
                <w:bCs/>
                <w:sz w:val="18"/>
                <w:szCs w:val="21"/>
                <w:lang w:val="en-US" w:eastAsia="zh-CN"/>
              </w:rPr>
              <w:t>2020年1-11月</w:t>
            </w:r>
          </w:p>
        </w:tc>
        <w:tc>
          <w:tcPr>
            <w:tcW w:w="475" w:type="pct"/>
            <w:tcBorders>
              <w:top w:val="single" w:color="000000" w:sz="8" w:space="0"/>
              <w:left w:val="single" w:color="000000" w:sz="4" w:space="0"/>
              <w:bottom w:val="single" w:color="000000" w:sz="4" w:space="0"/>
              <w:right w:val="single" w:color="000000" w:sz="8" w:space="0"/>
            </w:tcBorders>
            <w:shd w:val="clear" w:color="auto" w:fill="A4A4A4" w:themeFill="background1" w:themeFillShade="A5"/>
            <w:noWrap/>
            <w:tcMar>
              <w:top w:w="12" w:type="dxa"/>
              <w:left w:w="12" w:type="dxa"/>
              <w:right w:w="12" w:type="dxa"/>
            </w:tcMar>
            <w:vAlign w:val="center"/>
          </w:tcPr>
          <w:p>
            <w:pPr>
              <w:pStyle w:val="2"/>
              <w:bidi w:val="0"/>
              <w:rPr>
                <w:rFonts w:hint="default"/>
                <w:b/>
                <w:bCs/>
                <w:sz w:val="18"/>
                <w:szCs w:val="21"/>
              </w:rPr>
            </w:pPr>
            <w:r>
              <w:rPr>
                <w:rFonts w:hint="default"/>
                <w:b/>
                <w:bCs/>
                <w:sz w:val="18"/>
                <w:szCs w:val="21"/>
                <w:lang w:val="en-US" w:eastAsia="zh-CN"/>
              </w:rPr>
              <w:t>2019</w:t>
            </w:r>
            <w:r>
              <w:rPr>
                <w:b/>
                <w:bCs/>
                <w:sz w:val="18"/>
                <w:szCs w:val="21"/>
                <w:lang w:val="en-US" w:eastAsia="zh-CN"/>
              </w:rPr>
              <w:t>年度</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sz w:val="18"/>
                <w:szCs w:val="21"/>
                <w:lang w:val="en-US" w:eastAsia="zh-CN"/>
              </w:rPr>
              <w:t>一、经营活动产生的现金流量：</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w:t>
            </w:r>
            <w:r>
              <w:rPr>
                <w:sz w:val="18"/>
                <w:szCs w:val="21"/>
                <w:lang w:val="en-US" w:eastAsia="zh-CN"/>
              </w:rPr>
              <w:t>、将净利润调节为经营活动现金流量：</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销售商品、提供劳务收到的现金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16,536,474.87</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25,861,772.44</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净利润</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-639,922.96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-179,645.23 </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收到的税费返还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加：计提的资产减值准备</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收到的其他与经营活动有关的现金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977,068.32</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9,025,070.11</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固定资产折旧</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342,331.21</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329,090.74</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现金流入小计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17,513,543.20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34,886,842.55</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无形资产摊销</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eastAsia"/>
                <w:sz w:val="18"/>
                <w:szCs w:val="21"/>
              </w:rPr>
            </w:pPr>
            <w:r>
              <w:rPr>
                <w:rFonts w:hint="eastAsia"/>
                <w:sz w:val="18"/>
                <w:szCs w:val="21"/>
                <w:lang w:val="en-US" w:eastAsia="zh-CN"/>
              </w:rPr>
              <w:t>购买商品、接受劳务支付的现金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13,384,963.52</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30,491,587.02</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长期待摊费用摊销</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支付给职工以及为职工支付的现金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944,884.00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2,058,834.00</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待摊费用减少（减：增加）</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支付的各项税费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8</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390,182.74</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592,507.34</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预提费用增加（减：减少）</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支付的其他与经营活动有关的现金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9</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1,123,470.74</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2,191,089.04</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处置固定资产、无形资产和其他长期资产的损失（减：收益）</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现金流出小计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15,843,501.00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35,334,017.40</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固定资产报废损失</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经营活动产生的现金流量净额</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1,670,042.20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-447,174.85</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财务费用</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383,364.80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279,860.46 </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sz w:val="18"/>
                <w:szCs w:val="21"/>
                <w:lang w:val="en-US" w:eastAsia="zh-CN"/>
              </w:rPr>
              <w:t>二、投资活动产生的现金流量：</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投资损失（减：收益）</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收回投资所收到的现金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递延税款贷项（减：借项）</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取得投资收益所收到的现金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存货的减少（减：增加）</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-557,611.17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-3,683,909.18 </w:t>
            </w: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处置固定资产、无形资产和其他长期资产所收回的现金净额</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15</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经营性应收项目的减少（减：增加）</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lang w:val="en-US" w:eastAsia="zh-CN"/>
              </w:rPr>
            </w:pPr>
            <w:r>
              <w:rPr>
                <w:rFonts w:hint="default"/>
                <w:sz w:val="18"/>
                <w:szCs w:val="21"/>
                <w:lang w:val="en-US" w:eastAsia="zh-CN"/>
              </w:rPr>
              <w:t xml:space="preserve">-4,083,262.90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-4,752,054.20 </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收到的其他与投资活动有关的现金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16</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经营性应付项目的增加（减：减少）</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lang w:val="en-US" w:eastAsia="zh-CN"/>
              </w:rPr>
            </w:pPr>
            <w:r>
              <w:rPr>
                <w:rFonts w:hint="default"/>
                <w:sz w:val="18"/>
                <w:szCs w:val="21"/>
                <w:lang w:val="en-US" w:eastAsia="zh-CN"/>
              </w:rPr>
              <w:t xml:space="preserve">6,225,143.22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7,559,482.56 </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现金流入小计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其他</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购建固定资产、无形资产和其他长期资产所支付的现金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18</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395,989.57</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889,310.34</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经营活动产生的现金流量净额</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1,670,042.20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-447,174.85 </w:t>
            </w: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投资所支付的现金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19</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支付的其他与投资活动有关的现金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现金流出小计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395,989.57</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889,310.34</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投资活动产生的现金流量净额</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-395,989.57</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-889,310.34</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w:t>
            </w:r>
            <w:r>
              <w:rPr>
                <w:sz w:val="18"/>
                <w:szCs w:val="21"/>
                <w:lang w:val="en-US" w:eastAsia="zh-CN"/>
              </w:rPr>
              <w:t>、不涉及现金收支的投资和筹资活动：</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sz w:val="18"/>
                <w:szCs w:val="21"/>
                <w:lang w:val="en-US" w:eastAsia="zh-CN"/>
              </w:rPr>
              <w:t>三、筹资活动产生的现金流量：</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债务转为资本</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吸收投资所收到的现金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一年内到期的可转换公司债券</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借款所收到的现金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25</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6,600,000.00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4,400,000.00</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融资租入固定资产</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59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收到的其他与筹资活动有关的现金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26</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60</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现金流入小计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6,600,000.00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4,400,000.00 </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偿还债务所支付的现金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28</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4,249,719.87</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2,671,342.75</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分配股利、利润或偿付利息所支付的现金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29</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383,822.47</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280,223.01</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w:t>
            </w:r>
            <w:r>
              <w:rPr>
                <w:sz w:val="18"/>
                <w:szCs w:val="21"/>
                <w:lang w:val="en-US" w:eastAsia="zh-CN"/>
              </w:rPr>
              <w:t>、现金及现金等价物净增加情况：</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支付的其他与筹资活动有关的现金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现金的期末余额</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3,471,337.46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230,827.17 </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现金流出小计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4,633,542.34 </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2,951,565.76 </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减：现金的期初余额</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230,827.17 </w:t>
            </w: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118,878.12 </w:t>
            </w: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筹资活动产生的现金流量净额</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1,966,457.66 </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 1,448,434.24 </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加：现金等价物的期末余额</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sz w:val="18"/>
                <w:szCs w:val="21"/>
                <w:lang w:val="en-US" w:eastAsia="zh-CN"/>
              </w:rPr>
              <w:t>四、汇率变动对现金的影响</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减：现金等价物的期初余额</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p>
        </w:tc>
        <w:tc>
          <w:tcPr>
            <w:tcW w:w="475" w:type="pc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p>
        </w:tc>
      </w:tr>
      <w:tr>
        <w:tblPrEx>
          <w:shd w:val="clear" w:color="auto" w:fill="auto"/>
          <w:tblCellMar>
            <w:top w:w="0" w:type="dxa"/>
            <w:left w:w="0" w:type="dxa"/>
            <w:bottom w:w="0" w:type="dxa"/>
            <w:right w:w="0" w:type="dxa"/>
          </w:tblCellMar>
        </w:tblPrEx>
        <w:trPr>
          <w:trHeight w:val="411" w:hRule="atLeast"/>
        </w:trPr>
        <w:tc>
          <w:tcPr>
            <w:tcW w:w="1367" w:type="pct"/>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sz w:val="18"/>
                <w:szCs w:val="21"/>
                <w:lang w:val="en-US" w:eastAsia="zh-CN"/>
              </w:rPr>
              <w:t>五、现金及现金等价物净增加额</w:t>
            </w:r>
          </w:p>
        </w:tc>
        <w:tc>
          <w:tcPr>
            <w:tcW w:w="158"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34</w:t>
            </w:r>
          </w:p>
        </w:tc>
        <w:tc>
          <w:tcPr>
            <w:tcW w:w="497"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3,240,510.29</w:t>
            </w:r>
          </w:p>
        </w:tc>
        <w:tc>
          <w:tcPr>
            <w:tcW w:w="451"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111,949.05</w:t>
            </w:r>
          </w:p>
        </w:tc>
        <w:tc>
          <w:tcPr>
            <w:tcW w:w="1282"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现金及现金等价物净增加额</w:t>
            </w:r>
          </w:p>
        </w:tc>
        <w:tc>
          <w:tcPr>
            <w:tcW w:w="188"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68</w:t>
            </w:r>
          </w:p>
        </w:tc>
        <w:tc>
          <w:tcPr>
            <w:tcW w:w="579" w:type="pct"/>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3,240,510.29 </w:t>
            </w:r>
          </w:p>
        </w:tc>
        <w:tc>
          <w:tcPr>
            <w:tcW w:w="475" w:type="pct"/>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pStyle w:val="2"/>
              <w:bidi w:val="0"/>
              <w:rPr>
                <w:rFonts w:hint="default"/>
                <w:sz w:val="18"/>
                <w:szCs w:val="21"/>
              </w:rPr>
            </w:pPr>
            <w:r>
              <w:rPr>
                <w:rFonts w:hint="default"/>
                <w:sz w:val="18"/>
                <w:szCs w:val="21"/>
                <w:lang w:val="en-US" w:eastAsia="zh-CN"/>
              </w:rPr>
              <w:t xml:space="preserve">111,949.05 </w:t>
            </w:r>
          </w:p>
        </w:tc>
      </w:tr>
    </w:tbl>
    <w:p>
      <w:pPr>
        <w:pStyle w:val="2"/>
        <w:rPr>
          <w:rFonts w:hint="eastAsia"/>
          <w:lang w:val="en-US" w:eastAsia="zh-CN"/>
        </w:rPr>
        <w:sectPr>
          <w:type w:val="continuous"/>
          <w:pgSz w:w="16838" w:h="11906" w:orient="landscape"/>
          <w:pgMar w:top="1797" w:right="1440" w:bottom="1797" w:left="1440"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pPr>
      <w:bookmarkStart w:id="57" w:name="_GoBack"/>
      <w:bookmarkEnd w:id="57"/>
    </w:p>
    <w:p>
      <w:pPr>
        <w:pStyle w:val="4"/>
        <w:bidi w:val="0"/>
        <w:rPr>
          <w:rFonts w:hint="eastAsia"/>
        </w:rPr>
      </w:pPr>
      <w:bookmarkStart w:id="56" w:name="_Toc3413"/>
      <w:r>
        <w:rPr>
          <w:rFonts w:hint="eastAsia"/>
          <w:lang w:val="en-US" w:eastAsia="zh-CN"/>
        </w:rPr>
        <w:t>六</w:t>
      </w:r>
      <w:r>
        <w:rPr>
          <w:rFonts w:hint="eastAsia"/>
        </w:rPr>
        <w:t>、公司经营目标和计划</w:t>
      </w:r>
      <w:bookmarkEnd w:id="56"/>
    </w:p>
    <w:p>
      <w:pPr>
        <w:bidi w:val="0"/>
        <w:outlineLvl w:val="2"/>
      </w:pPr>
      <w:r>
        <w:rPr>
          <w:rFonts w:hint="eastAsia"/>
          <w:lang w:eastAsia="zh-CN"/>
        </w:rPr>
        <w:t>（一）</w:t>
      </w:r>
      <w:r>
        <w:rPr>
          <w:rFonts w:hint="eastAsia"/>
        </w:rPr>
        <w:t>发展目标</w:t>
      </w:r>
    </w:p>
    <w:p>
      <w:pPr>
        <w:bidi w:val="0"/>
      </w:pPr>
      <w:r>
        <w:rPr>
          <w:rFonts w:hint="eastAsia"/>
        </w:rPr>
        <w:t>坚持以市场为主导，积极拓展</w:t>
      </w:r>
      <w:r>
        <w:rPr>
          <w:rFonts w:hint="eastAsia"/>
          <w:lang w:val="en-US" w:eastAsia="zh-CN"/>
        </w:rPr>
        <w:t>食用植物油</w:t>
      </w:r>
      <w:r>
        <w:rPr>
          <w:rFonts w:hint="eastAsia"/>
        </w:rPr>
        <w:t>市场，迅速取得一定的市场影响度。同时努力增强自主创新能力，开拓新技术，使产品等级化、差异化，满足不同客户的产品需求。坚持精益求精的质量方针，做到不断地自我改善，保证出厂产品的合格率。也通过不断完善和创新，提升员工素质，增强客户的满意度，在本行业内树立良好的口碑，提升企业形象，促进企业持续、稳定、快速、健康发展，致力成为行业内最有竞争力的</w:t>
      </w:r>
      <w:r>
        <w:rPr>
          <w:rFonts w:hint="eastAsia"/>
          <w:lang w:val="en-US" w:eastAsia="zh-CN"/>
        </w:rPr>
        <w:t>包装制品生产</w:t>
      </w:r>
      <w:r>
        <w:rPr>
          <w:rFonts w:hint="eastAsia"/>
        </w:rPr>
        <w:t>基地之一，为广大客户提供优质产品及服务，以合作共赢的理念与客户建立长期的合作关系，共同发展。</w:t>
      </w:r>
    </w:p>
    <w:p>
      <w:pPr>
        <w:bidi w:val="0"/>
        <w:outlineLvl w:val="2"/>
      </w:pPr>
      <w:r>
        <w:rPr>
          <w:rFonts w:hint="eastAsia"/>
          <w:lang w:eastAsia="zh-CN"/>
        </w:rPr>
        <w:t>（二）</w:t>
      </w:r>
      <w:r>
        <w:rPr>
          <w:rFonts w:hint="eastAsia"/>
        </w:rPr>
        <w:t>具体发展业务计划</w:t>
      </w:r>
      <w:r>
        <w:rPr>
          <w:rFonts w:hint="eastAsia"/>
        </w:rPr>
        <w:tab/>
      </w:r>
      <w:r>
        <w:rPr>
          <w:rFonts w:hint="eastAsia"/>
        </w:rPr>
        <w:t xml:space="preserve">     </w:t>
      </w:r>
    </w:p>
    <w:p>
      <w:pPr>
        <w:bidi w:val="0"/>
        <w:rPr>
          <w:rFonts w:hint="eastAsia" w:eastAsia="宋体"/>
          <w:highlight w:val="none"/>
          <w:lang w:eastAsia="zh-CN"/>
        </w:rPr>
      </w:pPr>
      <w:r>
        <w:rPr>
          <w:rFonts w:hint="eastAsia"/>
          <w:highlight w:val="none"/>
          <w:lang w:eastAsia="zh-CN"/>
        </w:rPr>
        <w:t>公司未来三年的业务发展计划主要是围绕公司主营业务，注重新技术、新工艺的开发，加强质量把关，拓宽业务范围。争取在202</w:t>
      </w:r>
      <w:r>
        <w:rPr>
          <w:rFonts w:hint="eastAsia"/>
          <w:highlight w:val="none"/>
          <w:lang w:val="en-US" w:eastAsia="zh-CN"/>
        </w:rPr>
        <w:t>2</w:t>
      </w:r>
      <w:r>
        <w:rPr>
          <w:rFonts w:hint="eastAsia"/>
          <w:highlight w:val="none"/>
          <w:lang w:eastAsia="zh-CN"/>
        </w:rPr>
        <w:t>年实现年产值</w:t>
      </w:r>
      <w:r>
        <w:rPr>
          <w:rFonts w:hint="eastAsia"/>
          <w:highlight w:val="none"/>
          <w:lang w:val="en-US" w:eastAsia="zh-CN"/>
        </w:rPr>
        <w:t>3000</w:t>
      </w:r>
      <w:r>
        <w:rPr>
          <w:rFonts w:hint="eastAsia"/>
          <w:highlight w:val="none"/>
          <w:lang w:eastAsia="zh-CN"/>
        </w:rPr>
        <w:t>万元，成为同行业中的佼佼者。</w:t>
      </w:r>
    </w:p>
    <w:p>
      <w:pPr>
        <w:bidi w:val="0"/>
        <w:jc w:val="right"/>
      </w:pPr>
    </w:p>
    <w:sectPr>
      <w:footerReference r:id="rId9"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angSong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Chars="111"/>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Chars="111"/>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Chars="111"/>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tted" w:color="auto" w:sz="4" w:space="1"/>
      </w:pBdr>
      <w:ind w:firstLine="0" w:firstLineChars="0"/>
      <w:jc w:val="both"/>
      <w:rPr>
        <w:rFonts w:hint="eastAsia" w:eastAsia="宋体"/>
        <w:color w:val="008000"/>
        <w:sz w:val="21"/>
        <w:szCs w:val="21"/>
        <w:lang w:val="en-US" w:eastAsia="zh-CN"/>
      </w:rPr>
    </w:pPr>
    <w:r>
      <w:rPr>
        <w:rFonts w:hint="eastAsia"/>
        <w:color w:val="008000"/>
        <w:sz w:val="21"/>
        <w:szCs w:val="21"/>
        <w:lang w:eastAsia="zh-CN"/>
      </w:rPr>
      <w:t>龙口市龙金花植物油有限公司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w:t>
    </w:r>
    <w:r>
      <w:rPr>
        <w:rFonts w:hint="eastAsia"/>
        <w:color w:val="008000"/>
        <w:sz w:val="21"/>
        <w:szCs w:val="21"/>
        <w:lang w:val="en-US" w:eastAsia="zh-CN"/>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tted" w:color="auto" w:sz="4" w:space="1"/>
      </w:pBdr>
      <w:ind w:firstLine="0" w:firstLineChars="0"/>
      <w:jc w:val="both"/>
      <w:rPr>
        <w:rFonts w:hint="eastAsia" w:eastAsia="宋体"/>
        <w:color w:val="008000"/>
        <w:sz w:val="21"/>
        <w:szCs w:val="21"/>
        <w:lang w:val="en-US" w:eastAsia="zh-CN"/>
      </w:rPr>
    </w:pPr>
    <w:r>
      <w:rPr>
        <w:rFonts w:hint="eastAsia"/>
        <w:color w:val="008000"/>
        <w:sz w:val="21"/>
        <w:szCs w:val="21"/>
        <w:lang w:eastAsia="zh-CN"/>
      </w:rPr>
      <w:t>龙口市龙金花植物油有限公司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w:t>
    </w:r>
    <w:r>
      <w:rPr>
        <w:rFonts w:hint="eastAsia"/>
        <w:color w:val="008000"/>
        <w:sz w:val="21"/>
        <w:szCs w:val="21"/>
        <w:lang w:val="en-US" w:eastAsia="zh-CN"/>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518"/>
    <w:rsid w:val="00C73C39"/>
    <w:rsid w:val="00DE2FD1"/>
    <w:rsid w:val="015D57DD"/>
    <w:rsid w:val="021A1DB4"/>
    <w:rsid w:val="02705D0F"/>
    <w:rsid w:val="02C33818"/>
    <w:rsid w:val="02FE2226"/>
    <w:rsid w:val="036B3A91"/>
    <w:rsid w:val="036B5707"/>
    <w:rsid w:val="03A0389D"/>
    <w:rsid w:val="03B63CAA"/>
    <w:rsid w:val="03D72EB8"/>
    <w:rsid w:val="040A4503"/>
    <w:rsid w:val="04872E65"/>
    <w:rsid w:val="04BA6A0C"/>
    <w:rsid w:val="056111BF"/>
    <w:rsid w:val="05B10110"/>
    <w:rsid w:val="05BB61F0"/>
    <w:rsid w:val="05BD0D04"/>
    <w:rsid w:val="06383369"/>
    <w:rsid w:val="0668302A"/>
    <w:rsid w:val="072E1C06"/>
    <w:rsid w:val="089A1B3F"/>
    <w:rsid w:val="08A50008"/>
    <w:rsid w:val="0989152E"/>
    <w:rsid w:val="0A901917"/>
    <w:rsid w:val="0A9C353D"/>
    <w:rsid w:val="0AD64A92"/>
    <w:rsid w:val="0AF97770"/>
    <w:rsid w:val="0B075D76"/>
    <w:rsid w:val="0BE13AD2"/>
    <w:rsid w:val="0C0C6B84"/>
    <w:rsid w:val="0DBC45BA"/>
    <w:rsid w:val="0EA87EEC"/>
    <w:rsid w:val="0F0A3003"/>
    <w:rsid w:val="0F1D631A"/>
    <w:rsid w:val="0F6F1147"/>
    <w:rsid w:val="10975CAB"/>
    <w:rsid w:val="110A06A3"/>
    <w:rsid w:val="117648B6"/>
    <w:rsid w:val="11D126DF"/>
    <w:rsid w:val="121C1A73"/>
    <w:rsid w:val="122472A3"/>
    <w:rsid w:val="124301CF"/>
    <w:rsid w:val="12731CDC"/>
    <w:rsid w:val="12B718C0"/>
    <w:rsid w:val="13741F7B"/>
    <w:rsid w:val="140C2640"/>
    <w:rsid w:val="151F616F"/>
    <w:rsid w:val="15D047CD"/>
    <w:rsid w:val="15FC5B8A"/>
    <w:rsid w:val="164B7764"/>
    <w:rsid w:val="176F3A72"/>
    <w:rsid w:val="17BE0312"/>
    <w:rsid w:val="18105586"/>
    <w:rsid w:val="184876A6"/>
    <w:rsid w:val="18E35AED"/>
    <w:rsid w:val="191F2971"/>
    <w:rsid w:val="19B37959"/>
    <w:rsid w:val="19B528F5"/>
    <w:rsid w:val="19BF3F8E"/>
    <w:rsid w:val="1A317E9C"/>
    <w:rsid w:val="1A510003"/>
    <w:rsid w:val="1A6D70CF"/>
    <w:rsid w:val="1AF94526"/>
    <w:rsid w:val="1B101779"/>
    <w:rsid w:val="1B973892"/>
    <w:rsid w:val="1BD865E4"/>
    <w:rsid w:val="1C01509D"/>
    <w:rsid w:val="1CAB6575"/>
    <w:rsid w:val="1CC80211"/>
    <w:rsid w:val="1CE74D80"/>
    <w:rsid w:val="1D287E7A"/>
    <w:rsid w:val="1DF23081"/>
    <w:rsid w:val="1E0D1C3C"/>
    <w:rsid w:val="1F327EDF"/>
    <w:rsid w:val="1F7C3127"/>
    <w:rsid w:val="20182AD1"/>
    <w:rsid w:val="20EF0458"/>
    <w:rsid w:val="21880413"/>
    <w:rsid w:val="21D97432"/>
    <w:rsid w:val="22140B3A"/>
    <w:rsid w:val="221B065F"/>
    <w:rsid w:val="22680A6B"/>
    <w:rsid w:val="228D496F"/>
    <w:rsid w:val="22F04E39"/>
    <w:rsid w:val="23014569"/>
    <w:rsid w:val="230D30DA"/>
    <w:rsid w:val="232F41E4"/>
    <w:rsid w:val="236D051F"/>
    <w:rsid w:val="23706DF9"/>
    <w:rsid w:val="23B65D62"/>
    <w:rsid w:val="240368AE"/>
    <w:rsid w:val="24A30DA9"/>
    <w:rsid w:val="25120FAD"/>
    <w:rsid w:val="257740AB"/>
    <w:rsid w:val="26A0329D"/>
    <w:rsid w:val="26C14783"/>
    <w:rsid w:val="276707B0"/>
    <w:rsid w:val="27750FDA"/>
    <w:rsid w:val="277627EB"/>
    <w:rsid w:val="27DF38B8"/>
    <w:rsid w:val="29311A32"/>
    <w:rsid w:val="294233B7"/>
    <w:rsid w:val="2AB10C3B"/>
    <w:rsid w:val="2AC56903"/>
    <w:rsid w:val="2C5D47D3"/>
    <w:rsid w:val="2C9E2BC2"/>
    <w:rsid w:val="2D504E0D"/>
    <w:rsid w:val="2E036A45"/>
    <w:rsid w:val="2E061E90"/>
    <w:rsid w:val="2EFB290F"/>
    <w:rsid w:val="301B7BDA"/>
    <w:rsid w:val="30B97F2B"/>
    <w:rsid w:val="3128625B"/>
    <w:rsid w:val="314C0799"/>
    <w:rsid w:val="318D5978"/>
    <w:rsid w:val="335938F8"/>
    <w:rsid w:val="345801CD"/>
    <w:rsid w:val="350F34A9"/>
    <w:rsid w:val="352F4400"/>
    <w:rsid w:val="36D72E25"/>
    <w:rsid w:val="372405F7"/>
    <w:rsid w:val="37240B9C"/>
    <w:rsid w:val="374A233C"/>
    <w:rsid w:val="38C94A69"/>
    <w:rsid w:val="39940C7B"/>
    <w:rsid w:val="3A0216D9"/>
    <w:rsid w:val="3A3F4EC8"/>
    <w:rsid w:val="3A790282"/>
    <w:rsid w:val="3B363DC5"/>
    <w:rsid w:val="3B4B72BC"/>
    <w:rsid w:val="3D146095"/>
    <w:rsid w:val="3D1F35E1"/>
    <w:rsid w:val="3DFC5B26"/>
    <w:rsid w:val="3E021C87"/>
    <w:rsid w:val="3F5B543D"/>
    <w:rsid w:val="3F960D98"/>
    <w:rsid w:val="40831385"/>
    <w:rsid w:val="40AF0B9C"/>
    <w:rsid w:val="40D2518B"/>
    <w:rsid w:val="40E81DD9"/>
    <w:rsid w:val="41077EE6"/>
    <w:rsid w:val="413005EC"/>
    <w:rsid w:val="4186614A"/>
    <w:rsid w:val="419C6840"/>
    <w:rsid w:val="41AA670C"/>
    <w:rsid w:val="42A6656C"/>
    <w:rsid w:val="42D87B42"/>
    <w:rsid w:val="431B3606"/>
    <w:rsid w:val="43E05EA2"/>
    <w:rsid w:val="43EB4E00"/>
    <w:rsid w:val="43FB6ED2"/>
    <w:rsid w:val="445C215B"/>
    <w:rsid w:val="44635E64"/>
    <w:rsid w:val="44F60D0F"/>
    <w:rsid w:val="465A4CD4"/>
    <w:rsid w:val="46E1180C"/>
    <w:rsid w:val="472511FD"/>
    <w:rsid w:val="47880B18"/>
    <w:rsid w:val="484D78EC"/>
    <w:rsid w:val="48CD67EB"/>
    <w:rsid w:val="49180C01"/>
    <w:rsid w:val="49DA6D26"/>
    <w:rsid w:val="4A787051"/>
    <w:rsid w:val="4ABB6DDA"/>
    <w:rsid w:val="4B7F4810"/>
    <w:rsid w:val="4C682D78"/>
    <w:rsid w:val="4CF250DF"/>
    <w:rsid w:val="4DB32462"/>
    <w:rsid w:val="4EB51B70"/>
    <w:rsid w:val="4EEC7F59"/>
    <w:rsid w:val="4F3C3855"/>
    <w:rsid w:val="4F482C95"/>
    <w:rsid w:val="4FAB384B"/>
    <w:rsid w:val="4FE13607"/>
    <w:rsid w:val="516C258A"/>
    <w:rsid w:val="52550126"/>
    <w:rsid w:val="52CF3E19"/>
    <w:rsid w:val="532A1348"/>
    <w:rsid w:val="533B4622"/>
    <w:rsid w:val="53C070A5"/>
    <w:rsid w:val="556E784C"/>
    <w:rsid w:val="55A6016B"/>
    <w:rsid w:val="56753AC1"/>
    <w:rsid w:val="57EB3CD9"/>
    <w:rsid w:val="588B1B23"/>
    <w:rsid w:val="58D7557A"/>
    <w:rsid w:val="59521184"/>
    <w:rsid w:val="599A6965"/>
    <w:rsid w:val="59AB5265"/>
    <w:rsid w:val="5A6C789C"/>
    <w:rsid w:val="5A74237C"/>
    <w:rsid w:val="5A83324F"/>
    <w:rsid w:val="5BF30C5A"/>
    <w:rsid w:val="5C235179"/>
    <w:rsid w:val="5C7A2132"/>
    <w:rsid w:val="5CB668E5"/>
    <w:rsid w:val="5DFE2630"/>
    <w:rsid w:val="5E327D47"/>
    <w:rsid w:val="5EC74DED"/>
    <w:rsid w:val="5F3B7A4D"/>
    <w:rsid w:val="5FCA0858"/>
    <w:rsid w:val="60094688"/>
    <w:rsid w:val="609E4831"/>
    <w:rsid w:val="60E86470"/>
    <w:rsid w:val="60EC7178"/>
    <w:rsid w:val="610454B5"/>
    <w:rsid w:val="610F1953"/>
    <w:rsid w:val="616F1B72"/>
    <w:rsid w:val="62757A8B"/>
    <w:rsid w:val="6310424C"/>
    <w:rsid w:val="6348142D"/>
    <w:rsid w:val="63633CFE"/>
    <w:rsid w:val="6440381D"/>
    <w:rsid w:val="65946ADF"/>
    <w:rsid w:val="66A80B82"/>
    <w:rsid w:val="671C0209"/>
    <w:rsid w:val="67597B40"/>
    <w:rsid w:val="678E216D"/>
    <w:rsid w:val="67912C59"/>
    <w:rsid w:val="679F251D"/>
    <w:rsid w:val="68181B11"/>
    <w:rsid w:val="68425E42"/>
    <w:rsid w:val="684B5B93"/>
    <w:rsid w:val="68741049"/>
    <w:rsid w:val="68893F89"/>
    <w:rsid w:val="68946A79"/>
    <w:rsid w:val="68B01703"/>
    <w:rsid w:val="69DF7CBE"/>
    <w:rsid w:val="6A134EF6"/>
    <w:rsid w:val="6AB12BFD"/>
    <w:rsid w:val="6ABC1486"/>
    <w:rsid w:val="6ADA00C4"/>
    <w:rsid w:val="6B2F522A"/>
    <w:rsid w:val="6B8C6601"/>
    <w:rsid w:val="6BB83727"/>
    <w:rsid w:val="6C3060A8"/>
    <w:rsid w:val="6C511037"/>
    <w:rsid w:val="6CD30960"/>
    <w:rsid w:val="6CF6607C"/>
    <w:rsid w:val="6D182CA3"/>
    <w:rsid w:val="6DE11EFF"/>
    <w:rsid w:val="6E9F70CA"/>
    <w:rsid w:val="6EB63DDE"/>
    <w:rsid w:val="6FC4428C"/>
    <w:rsid w:val="704941C2"/>
    <w:rsid w:val="70A05F07"/>
    <w:rsid w:val="710E5CF7"/>
    <w:rsid w:val="72284BCB"/>
    <w:rsid w:val="738143B4"/>
    <w:rsid w:val="73C76A01"/>
    <w:rsid w:val="740E6299"/>
    <w:rsid w:val="74673F0D"/>
    <w:rsid w:val="746D1BE5"/>
    <w:rsid w:val="7540116D"/>
    <w:rsid w:val="75690DF0"/>
    <w:rsid w:val="75901D6A"/>
    <w:rsid w:val="76437F7D"/>
    <w:rsid w:val="768D6A24"/>
    <w:rsid w:val="76EA1F1F"/>
    <w:rsid w:val="77217B10"/>
    <w:rsid w:val="778C65FA"/>
    <w:rsid w:val="780F153C"/>
    <w:rsid w:val="7824013F"/>
    <w:rsid w:val="783B0467"/>
    <w:rsid w:val="785819FD"/>
    <w:rsid w:val="78660CD3"/>
    <w:rsid w:val="78B422B6"/>
    <w:rsid w:val="79694240"/>
    <w:rsid w:val="799125FC"/>
    <w:rsid w:val="7A9F2607"/>
    <w:rsid w:val="7AA1654A"/>
    <w:rsid w:val="7B720929"/>
    <w:rsid w:val="7B983589"/>
    <w:rsid w:val="7BB81EC8"/>
    <w:rsid w:val="7BC671E4"/>
    <w:rsid w:val="7C0B726F"/>
    <w:rsid w:val="7D3A7C5C"/>
    <w:rsid w:val="7EAD2C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1"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after="50" w:afterLines="50" w:line="360" w:lineRule="auto"/>
      <w:ind w:firstLine="64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52"/>
    <w:qFormat/>
    <w:uiPriority w:val="0"/>
    <w:pPr>
      <w:keepNext/>
      <w:keepLines/>
      <w:spacing w:before="340" w:beforeLines="0" w:beforeAutospacing="0" w:after="330" w:afterLines="0" w:afterAutospacing="0" w:line="576" w:lineRule="auto"/>
      <w:ind w:firstLine="0" w:firstLineChars="0"/>
      <w:jc w:val="center"/>
      <w:outlineLvl w:val="0"/>
    </w:pPr>
    <w:rPr>
      <w:rFonts w:ascii="Times New Roman" w:hAnsi="Times New Roman"/>
      <w:b/>
      <w:kern w:val="44"/>
      <w:sz w:val="32"/>
    </w:rPr>
  </w:style>
  <w:style w:type="paragraph" w:styleId="4">
    <w:name w:val="heading 2"/>
    <w:basedOn w:val="1"/>
    <w:next w:val="1"/>
    <w:link w:val="27"/>
    <w:unhideWhenUsed/>
    <w:qFormat/>
    <w:uiPriority w:val="0"/>
    <w:pPr>
      <w:keepNext/>
      <w:keepLines/>
      <w:adjustRightInd w:val="0"/>
      <w:snapToGrid/>
      <w:spacing w:beforeLines="0" w:afterLines="0" w:line="360" w:lineRule="auto"/>
      <w:ind w:firstLine="0" w:firstLineChars="0"/>
      <w:jc w:val="left"/>
      <w:outlineLvl w:val="1"/>
    </w:pPr>
    <w:rPr>
      <w:rFonts w:ascii="Arial" w:hAnsi="Arial" w:eastAsia="仿宋"/>
      <w:b/>
      <w:bCs/>
      <w:sz w:val="30"/>
      <w:szCs w:val="32"/>
    </w:rPr>
  </w:style>
  <w:style w:type="paragraph" w:styleId="5">
    <w:name w:val="heading 3"/>
    <w:basedOn w:val="1"/>
    <w:next w:val="1"/>
    <w:link w:val="31"/>
    <w:unhideWhenUsed/>
    <w:qFormat/>
    <w:uiPriority w:val="0"/>
    <w:pPr>
      <w:keepNext/>
      <w:keepLines/>
      <w:spacing w:before="260" w:beforeLines="0" w:beforeAutospacing="0" w:after="260" w:afterLines="0" w:afterAutospacing="0" w:line="413" w:lineRule="auto"/>
      <w:outlineLvl w:val="2"/>
    </w:pPr>
    <w:rPr>
      <w:b/>
      <w:sz w:val="24"/>
    </w:rPr>
  </w:style>
  <w:style w:type="paragraph" w:styleId="6">
    <w:name w:val="heading 4"/>
    <w:basedOn w:val="1"/>
    <w:next w:val="1"/>
    <w:qFormat/>
    <w:uiPriority w:val="1"/>
    <w:pPr>
      <w:ind w:left="620"/>
      <w:outlineLvl w:val="4"/>
    </w:pPr>
    <w:rPr>
      <w:rFonts w:ascii="Microsoft JhengHei" w:hAnsi="Microsoft JhengHei" w:eastAsia="Microsoft JhengHei" w:cs="Microsoft JhengHei"/>
      <w:b/>
      <w:bCs/>
      <w:sz w:val="24"/>
      <w:szCs w:val="24"/>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0" w:firstLineChars="0"/>
      <w:jc w:val="center"/>
    </w:pPr>
    <w:rPr>
      <w:rFonts w:ascii="Times New Roman" w:hAnsi="Times New Roman"/>
      <w:sz w:val="21"/>
    </w:rPr>
  </w:style>
  <w:style w:type="paragraph" w:styleId="8">
    <w:name w:val="Document Map"/>
    <w:basedOn w:val="1"/>
    <w:qFormat/>
    <w:uiPriority w:val="0"/>
    <w:pPr>
      <w:spacing w:line="240" w:lineRule="auto"/>
      <w:ind w:firstLine="0" w:firstLineChars="0"/>
    </w:pPr>
    <w:rPr>
      <w:sz w:val="21"/>
      <w:szCs w:val="18"/>
    </w:rPr>
  </w:style>
  <w:style w:type="paragraph" w:styleId="9">
    <w:name w:val="annotation text"/>
    <w:basedOn w:val="1"/>
    <w:qFormat/>
    <w:uiPriority w:val="0"/>
    <w:pPr>
      <w:jc w:val="left"/>
    </w:pPr>
  </w:style>
  <w:style w:type="paragraph" w:styleId="10">
    <w:name w:val="Body Text"/>
    <w:basedOn w:val="1"/>
    <w:qFormat/>
    <w:uiPriority w:val="1"/>
    <w:rPr>
      <w:rFonts w:ascii="宋体" w:hAnsi="宋体" w:eastAsia="宋体" w:cs="宋体"/>
      <w:sz w:val="24"/>
      <w:szCs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color w:val="0E90D2"/>
      <w:u w:val="none"/>
    </w:rPr>
  </w:style>
  <w:style w:type="character" w:styleId="22">
    <w:name w:val="Emphasis"/>
    <w:basedOn w:val="18"/>
    <w:qFormat/>
    <w:uiPriority w:val="0"/>
    <w:rPr>
      <w:i/>
    </w:rPr>
  </w:style>
  <w:style w:type="character" w:styleId="23">
    <w:name w:val="Hyperlink"/>
    <w:basedOn w:val="18"/>
    <w:qFormat/>
    <w:uiPriority w:val="0"/>
    <w:rPr>
      <w:color w:val="0000FF"/>
      <w:u w:val="single"/>
    </w:rPr>
  </w:style>
  <w:style w:type="character" w:styleId="24">
    <w:name w:val="HTML Code"/>
    <w:basedOn w:val="18"/>
    <w:qFormat/>
    <w:uiPriority w:val="0"/>
    <w:rPr>
      <w:rFonts w:hint="default" w:ascii="Consolas" w:hAnsi="Consolas" w:eastAsia="Consolas" w:cs="Consolas"/>
      <w:color w:val="C7254E"/>
      <w:sz w:val="21"/>
      <w:szCs w:val="21"/>
      <w:shd w:val="clear" w:fill="F8F8F8"/>
    </w:rPr>
  </w:style>
  <w:style w:type="character" w:styleId="25">
    <w:name w:val="HTML Keyboard"/>
    <w:basedOn w:val="18"/>
    <w:qFormat/>
    <w:uiPriority w:val="0"/>
    <w:rPr>
      <w:rFonts w:hint="default" w:ascii="Consolas" w:hAnsi="Consolas" w:eastAsia="Consolas" w:cs="Consolas"/>
      <w:sz w:val="21"/>
      <w:szCs w:val="21"/>
    </w:rPr>
  </w:style>
  <w:style w:type="character" w:styleId="26">
    <w:name w:val="HTML Sample"/>
    <w:basedOn w:val="18"/>
    <w:qFormat/>
    <w:uiPriority w:val="0"/>
    <w:rPr>
      <w:rFonts w:hint="default" w:ascii="Consolas" w:hAnsi="Consolas" w:eastAsia="Consolas" w:cs="Consolas"/>
      <w:sz w:val="21"/>
      <w:szCs w:val="21"/>
    </w:rPr>
  </w:style>
  <w:style w:type="character" w:customStyle="1" w:styleId="27">
    <w:name w:val="标题 2 Char1"/>
    <w:link w:val="4"/>
    <w:qFormat/>
    <w:uiPriority w:val="0"/>
    <w:rPr>
      <w:rFonts w:ascii="Arial" w:hAnsi="Arial" w:eastAsia="仿宋"/>
      <w:b/>
      <w:bCs/>
      <w:sz w:val="30"/>
      <w:szCs w:val="32"/>
    </w:rPr>
  </w:style>
  <w:style w:type="paragraph" w:customStyle="1" w:styleId="28">
    <w:name w:val="Table Paragraph"/>
    <w:basedOn w:val="1"/>
    <w:qFormat/>
    <w:uiPriority w:val="1"/>
    <w:pPr>
      <w:spacing w:before="59"/>
      <w:jc w:val="center"/>
    </w:pPr>
    <w:rPr>
      <w:rFonts w:ascii="Times New Roman" w:hAnsi="Times New Roman" w:eastAsia="Times New Roman" w:cs="Times New Roman"/>
    </w:rPr>
  </w:style>
  <w:style w:type="character" w:customStyle="1" w:styleId="29">
    <w:name w:val="font11"/>
    <w:basedOn w:val="18"/>
    <w:qFormat/>
    <w:uiPriority w:val="0"/>
    <w:rPr>
      <w:rFonts w:hint="eastAsia" w:ascii="宋体" w:hAnsi="宋体" w:eastAsia="宋体" w:cs="宋体"/>
      <w:color w:val="000000"/>
      <w:sz w:val="21"/>
      <w:szCs w:val="21"/>
      <w:u w:val="none"/>
    </w:rPr>
  </w:style>
  <w:style w:type="character" w:customStyle="1" w:styleId="30">
    <w:name w:val="font21"/>
    <w:basedOn w:val="18"/>
    <w:qFormat/>
    <w:uiPriority w:val="0"/>
    <w:rPr>
      <w:rFonts w:hint="default" w:ascii="Times New Roman" w:hAnsi="Times New Roman" w:cs="Times New Roman"/>
      <w:color w:val="000000"/>
      <w:sz w:val="21"/>
      <w:szCs w:val="21"/>
      <w:u w:val="none"/>
    </w:rPr>
  </w:style>
  <w:style w:type="character" w:customStyle="1" w:styleId="31">
    <w:name w:val="标题 3 Char"/>
    <w:link w:val="5"/>
    <w:qFormat/>
    <w:uiPriority w:val="0"/>
    <w:rPr>
      <w:b/>
      <w:sz w:val="24"/>
    </w:rPr>
  </w:style>
  <w:style w:type="character" w:customStyle="1" w:styleId="32">
    <w:name w:val="无"/>
    <w:qFormat/>
    <w:uiPriority w:val="0"/>
  </w:style>
  <w:style w:type="character" w:customStyle="1" w:styleId="33">
    <w:name w:val="font31"/>
    <w:basedOn w:val="18"/>
    <w:qFormat/>
    <w:uiPriority w:val="0"/>
    <w:rPr>
      <w:rFonts w:hint="eastAsia" w:ascii="宋体" w:hAnsi="宋体" w:eastAsia="宋体" w:cs="宋体"/>
      <w:b/>
      <w:color w:val="000000"/>
      <w:sz w:val="20"/>
      <w:szCs w:val="20"/>
      <w:u w:val="none"/>
    </w:rPr>
  </w:style>
  <w:style w:type="character" w:customStyle="1" w:styleId="34">
    <w:name w:val="font01"/>
    <w:basedOn w:val="18"/>
    <w:qFormat/>
    <w:uiPriority w:val="0"/>
    <w:rPr>
      <w:rFonts w:hint="eastAsia" w:ascii="宋体" w:hAnsi="宋体" w:eastAsia="宋体" w:cs="宋体"/>
      <w:color w:val="000000"/>
      <w:sz w:val="21"/>
      <w:szCs w:val="21"/>
      <w:u w:val="none"/>
    </w:rPr>
  </w:style>
  <w:style w:type="paragraph" w:styleId="35">
    <w:name w:val="List Paragraph"/>
    <w:basedOn w:val="1"/>
    <w:qFormat/>
    <w:uiPriority w:val="99"/>
    <w:pPr>
      <w:ind w:firstLine="420" w:firstLineChars="200"/>
    </w:pPr>
  </w:style>
  <w:style w:type="character" w:customStyle="1" w:styleId="36">
    <w:name w:val="font41"/>
    <w:basedOn w:val="18"/>
    <w:qFormat/>
    <w:uiPriority w:val="0"/>
    <w:rPr>
      <w:rFonts w:hint="eastAsia" w:ascii="宋体" w:hAnsi="宋体" w:eastAsia="宋体" w:cs="宋体"/>
      <w:b/>
      <w:color w:val="000000"/>
      <w:sz w:val="21"/>
      <w:szCs w:val="21"/>
      <w:u w:val="none"/>
    </w:rPr>
  </w:style>
  <w:style w:type="paragraph" w:customStyle="1" w:styleId="37">
    <w:name w:val="样式 报告正文格式1 + 首行缩进:  2 字符"/>
    <w:basedOn w:val="38"/>
    <w:qFormat/>
    <w:uiPriority w:val="0"/>
    <w:pPr>
      <w:ind w:firstLine="400"/>
    </w:pPr>
    <w:rPr>
      <w:sz w:val="30"/>
    </w:rPr>
  </w:style>
  <w:style w:type="paragraph" w:customStyle="1" w:styleId="38">
    <w:name w:val="报告正文格式1"/>
    <w:basedOn w:val="1"/>
    <w:qFormat/>
    <w:uiPriority w:val="0"/>
    <w:pPr>
      <w:spacing w:line="360" w:lineRule="auto"/>
      <w:ind w:firstLine="560" w:firstLineChars="200"/>
      <w:jc w:val="both"/>
    </w:pPr>
    <w:rPr>
      <w:rFonts w:ascii="Times New Roman" w:hAnsi="Times New Roman" w:eastAsia="仿宋_GB2312"/>
      <w:kern w:val="0"/>
      <w:sz w:val="20"/>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character" w:customStyle="1" w:styleId="41">
    <w:name w:val="hover34"/>
    <w:basedOn w:val="18"/>
    <w:qFormat/>
    <w:uiPriority w:val="0"/>
    <w:rPr>
      <w:shd w:val="clear" w:fill="F0F0F0"/>
    </w:rPr>
  </w:style>
  <w:style w:type="character" w:customStyle="1" w:styleId="42">
    <w:name w:val="am-active20"/>
    <w:basedOn w:val="18"/>
    <w:qFormat/>
    <w:uiPriority w:val="0"/>
    <w:rPr>
      <w:color w:val="0084C7"/>
      <w:shd w:val="clear" w:fill="F0F0F0"/>
    </w:rPr>
  </w:style>
  <w:style w:type="character" w:customStyle="1" w:styleId="43">
    <w:name w:val="am-active21"/>
    <w:basedOn w:val="18"/>
    <w:qFormat/>
    <w:uiPriority w:val="0"/>
    <w:rPr>
      <w:color w:val="1B961B"/>
    </w:rPr>
  </w:style>
  <w:style w:type="character" w:customStyle="1" w:styleId="44">
    <w:name w:val="am-active22"/>
    <w:basedOn w:val="18"/>
    <w:qFormat/>
    <w:uiPriority w:val="0"/>
    <w:rPr>
      <w:color w:val="C10802"/>
    </w:rPr>
  </w:style>
  <w:style w:type="character" w:customStyle="1" w:styleId="45">
    <w:name w:val="am-active23"/>
    <w:basedOn w:val="18"/>
    <w:qFormat/>
    <w:uiPriority w:val="0"/>
    <w:rPr>
      <w:color w:val="AA4B00"/>
    </w:rPr>
  </w:style>
  <w:style w:type="character" w:customStyle="1" w:styleId="46">
    <w:name w:val="am-disabled16"/>
    <w:basedOn w:val="18"/>
    <w:qFormat/>
    <w:uiPriority w:val="0"/>
    <w:rPr>
      <w:color w:val="999999"/>
      <w:shd w:val="clear" w:fill="FAFAFA"/>
    </w:rPr>
  </w:style>
  <w:style w:type="character" w:customStyle="1" w:styleId="47">
    <w:name w:val="am-datepicker-old"/>
    <w:basedOn w:val="18"/>
    <w:qFormat/>
    <w:uiPriority w:val="0"/>
    <w:rPr>
      <w:color w:val="89D7FF"/>
    </w:rPr>
  </w:style>
  <w:style w:type="character" w:customStyle="1" w:styleId="48">
    <w:name w:val="am-datepicker-old1"/>
    <w:basedOn w:val="18"/>
    <w:qFormat/>
    <w:uiPriority w:val="0"/>
    <w:rPr>
      <w:color w:val="94DF94"/>
    </w:rPr>
  </w:style>
  <w:style w:type="character" w:customStyle="1" w:styleId="49">
    <w:name w:val="am-datepicker-old2"/>
    <w:basedOn w:val="18"/>
    <w:qFormat/>
    <w:uiPriority w:val="0"/>
    <w:rPr>
      <w:color w:val="F59490"/>
    </w:rPr>
  </w:style>
  <w:style w:type="character" w:customStyle="1" w:styleId="50">
    <w:name w:val="am-datepicker-old3"/>
    <w:basedOn w:val="18"/>
    <w:qFormat/>
    <w:uiPriority w:val="0"/>
    <w:rPr>
      <w:color w:val="FFAD6D"/>
    </w:rPr>
  </w:style>
  <w:style w:type="character" w:customStyle="1" w:styleId="51">
    <w:name w:val="am-datepicker-hour"/>
    <w:basedOn w:val="18"/>
    <w:qFormat/>
    <w:uiPriority w:val="0"/>
  </w:style>
  <w:style w:type="character" w:customStyle="1" w:styleId="52">
    <w:name w:val="标题 1 Char"/>
    <w:link w:val="3"/>
    <w:qFormat/>
    <w:uiPriority w:val="0"/>
    <w:rPr>
      <w:rFonts w:ascii="Times New Roman" w:hAnsi="Times New Roman"/>
      <w:b/>
      <w:kern w:val="44"/>
      <w:sz w:val="32"/>
    </w:rPr>
  </w:style>
  <w:style w:type="paragraph" w:customStyle="1" w:styleId="53">
    <w:name w:val="样式 正文 行距: 固定值 25 磅"/>
    <w:basedOn w:val="1"/>
    <w:qFormat/>
    <w:uiPriority w:val="0"/>
    <w:pPr>
      <w:adjustRightInd w:val="0"/>
      <w:snapToGrid/>
      <w:spacing w:line="500" w:lineRule="exact"/>
      <w:ind w:firstLine="200" w:firstLineChars="200"/>
    </w:pPr>
    <w:rPr>
      <w:rFonts w:cs="宋体"/>
    </w:rPr>
  </w:style>
  <w:style w:type="paragraph" w:customStyle="1" w:styleId="54">
    <w:name w:val="样式 样式 正文 首行缩进:  2 字符 + (中文) 楷体_GB2312 + 首行缩进:  2 字符"/>
    <w:basedOn w:val="1"/>
    <w:qFormat/>
    <w:uiPriority w:val="0"/>
    <w:pPr>
      <w:adjustRightInd w:val="0"/>
      <w:spacing w:line="500" w:lineRule="exact"/>
      <w:ind w:firstLine="200" w:firstLineChars="200"/>
    </w:pPr>
    <w:rPr>
      <w:rFonts w:cs="宋体"/>
      <w:szCs w:val="20"/>
    </w:rPr>
  </w:style>
  <w:style w:type="paragraph" w:customStyle="1" w:styleId="55">
    <w:name w:val="报告书正文"/>
    <w:basedOn w:val="1"/>
    <w:qFormat/>
    <w:uiPriority w:val="0"/>
    <w:pPr>
      <w:adjustRightInd w:val="0"/>
      <w:ind w:firstLine="480"/>
      <w:textAlignment w:val="baseline"/>
    </w:pPr>
    <w:rPr>
      <w:rFonts w:hAnsi="宋体"/>
      <w:color w:val="FF0000"/>
      <w:kern w:val="0"/>
      <w:szCs w:val="20"/>
      <w:lang w:val="nl-BE"/>
    </w:rPr>
  </w:style>
  <w:style w:type="character" w:customStyle="1" w:styleId="56">
    <w:name w:val="font61"/>
    <w:basedOn w:val="18"/>
    <w:qFormat/>
    <w:uiPriority w:val="0"/>
    <w:rPr>
      <w:rFonts w:hint="default" w:ascii="Times New Roman" w:hAnsi="Times New Roman" w:cs="Times New Roman"/>
      <w:color w:val="000000"/>
      <w:sz w:val="20"/>
      <w:szCs w:val="20"/>
      <w:u w:val="none"/>
    </w:rPr>
  </w:style>
  <w:style w:type="character" w:customStyle="1" w:styleId="57">
    <w:name w:val="font71"/>
    <w:basedOn w:val="18"/>
    <w:qFormat/>
    <w:uiPriority w:val="0"/>
    <w:rPr>
      <w:rFonts w:hint="eastAsia" w:ascii="宋体" w:hAnsi="宋体" w:eastAsia="宋体" w:cs="宋体"/>
      <w:b/>
      <w:color w:val="000000"/>
      <w:sz w:val="24"/>
      <w:szCs w:val="24"/>
      <w:u w:val="none"/>
    </w:rPr>
  </w:style>
  <w:style w:type="character" w:customStyle="1" w:styleId="58">
    <w:name w:val="font81"/>
    <w:basedOn w:val="18"/>
    <w:qFormat/>
    <w:uiPriority w:val="0"/>
    <w:rPr>
      <w:rFonts w:ascii="仿宋_GB2312" w:eastAsia="仿宋_GB2312" w:cs="仿宋_GB2312"/>
      <w:b/>
      <w:color w:val="000000"/>
      <w:sz w:val="24"/>
      <w:szCs w:val="24"/>
      <w:u w:val="none"/>
    </w:rPr>
  </w:style>
  <w:style w:type="character" w:customStyle="1" w:styleId="59">
    <w:name w:val="font51"/>
    <w:basedOn w:val="18"/>
    <w:qFormat/>
    <w:uiPriority w:val="0"/>
    <w:rPr>
      <w:rFonts w:hint="eastAsia" w:ascii="宋体" w:hAnsi="宋体" w:eastAsia="宋体" w:cs="宋体"/>
      <w:b/>
      <w:color w:val="000000"/>
      <w:sz w:val="24"/>
      <w:szCs w:val="24"/>
      <w:u w:val="none"/>
    </w:rPr>
  </w:style>
  <w:style w:type="character" w:customStyle="1" w:styleId="60">
    <w:name w:val="font91"/>
    <w:basedOn w:val="18"/>
    <w:qFormat/>
    <w:uiPriority w:val="0"/>
    <w:rPr>
      <w:rFonts w:hint="default" w:ascii="Arial Narrow" w:hAnsi="Arial Narrow" w:eastAsia="Arial Narrow" w:cs="Arial Narrow"/>
      <w:b/>
      <w:color w:val="000000"/>
      <w:sz w:val="24"/>
      <w:szCs w:val="24"/>
      <w:u w:val="none"/>
    </w:rPr>
  </w:style>
  <w:style w:type="paragraph" w:customStyle="1" w:styleId="61">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paragraph" w:customStyle="1" w:styleId="62">
    <w:name w:val="WPSOffice手动目录 3"/>
    <w:qFormat/>
    <w:uiPriority w:val="0"/>
    <w:pPr>
      <w:ind w:leftChars="400"/>
    </w:pPr>
    <w:rPr>
      <w:rFonts w:ascii="Times New Roman" w:hAnsi="Times New Roman" w:eastAsia="宋体" w:cs="Times New Roman"/>
      <w:sz w:val="20"/>
      <w:szCs w:val="20"/>
    </w:rPr>
  </w:style>
  <w:style w:type="character" w:customStyle="1" w:styleId="63">
    <w:name w:val="font101"/>
    <w:basedOn w:val="18"/>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七聲</cp:lastModifiedBy>
  <dcterms:modified xsi:type="dcterms:W3CDTF">2021-01-27T02:49:02Z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