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淄博德昶泰经贸有限公司</w:t>
      </w:r>
    </w:p>
    <w:p>
      <w:pPr>
        <w:jc w:val="center"/>
        <w:rPr>
          <w:rFonts w:ascii="黑体" w:hAnsi="黑体" w:eastAsia="黑体" w:cs="黑体"/>
          <w:b/>
          <w:bCs/>
          <w:sz w:val="44"/>
          <w:szCs w:val="44"/>
        </w:rPr>
      </w:pPr>
      <w:r>
        <w:rPr>
          <w:rFonts w:hint="eastAsia" w:ascii="黑体" w:hAnsi="黑体" w:eastAsia="黑体" w:cs="黑体"/>
          <w:b/>
          <w:bCs/>
          <w:sz w:val="44"/>
          <w:szCs w:val="44"/>
        </w:rPr>
        <w:t>挂牌转让说明书摘要</w:t>
      </w:r>
    </w:p>
    <w:p>
      <w:pPr>
        <w:ind w:firstLine="2530" w:firstLineChars="900"/>
        <w:rPr>
          <w:rFonts w:ascii="黑体" w:hAnsi="黑体" w:eastAsia="黑体" w:cs="黑体"/>
          <w:b/>
          <w:bCs/>
          <w:sz w:val="28"/>
          <w:szCs w:val="28"/>
        </w:rPr>
      </w:pPr>
      <w:r>
        <w:rPr>
          <w:rFonts w:hint="eastAsia" w:ascii="黑体" w:hAnsi="黑体" w:eastAsia="黑体" w:cs="黑体"/>
          <w:b/>
          <w:bCs/>
          <w:sz w:val="28"/>
          <w:szCs w:val="28"/>
        </w:rPr>
        <w:t>（申请板块：成长板）</w:t>
      </w:r>
    </w:p>
    <w:p>
      <w:pPr>
        <w:ind w:firstLine="640" w:firstLineChars="200"/>
        <w:jc w:val="center"/>
        <w:rPr>
          <w:rFonts w:ascii="仿宋" w:hAnsi="仿宋" w:eastAsia="仿宋" w:cs="仿宋"/>
          <w:sz w:val="32"/>
          <w:szCs w:val="32"/>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rPr>
        <w:t>声 明</w:t>
      </w:r>
    </w:p>
    <w:p>
      <w:pPr>
        <w:jc w:val="cente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本公司及全体董事、监事、高级管理人员承诺挂牌说明书不存在虚假记载、误导性陈述或重大遗漏，并对其真实性、准确性、完整性承担个别和连带的法律责任。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本公司提醒投资者注意，凡本挂牌转让说明书未涉及的有关内容，请投资者直接或通过齐鲁股权交易中心有限公司向本公司查询。</w:t>
      </w:r>
    </w:p>
    <w:p>
      <w:pPr>
        <w:ind w:firstLine="640" w:firstLineChars="200"/>
        <w:rPr>
          <w:rFonts w:ascii="仿宋" w:hAnsi="仿宋" w:eastAsia="仿宋" w:cs="仿宋"/>
          <w:sz w:val="32"/>
          <w:szCs w:val="32"/>
        </w:rPr>
      </w:pPr>
      <w:r>
        <w:rPr>
          <w:rFonts w:hint="eastAsia" w:ascii="仿宋" w:hAnsi="仿宋" w:eastAsia="仿宋" w:cs="仿宋"/>
          <w:sz w:val="32"/>
          <w:szCs w:val="32"/>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sdt>
      <w:sdtPr>
        <w:rPr>
          <w:rFonts w:ascii="宋体" w:hAnsi="宋体"/>
          <w:b/>
          <w:bCs/>
          <w:sz w:val="28"/>
          <w:szCs w:val="36"/>
        </w:rPr>
        <w:id w:val="147459893"/>
        <w15:color w:val="DBDBDB"/>
        <w:docPartObj>
          <w:docPartGallery w:val="Table of Contents"/>
          <w:docPartUnique/>
        </w:docPartObj>
      </w:sdtPr>
      <w:sdtEndPr>
        <w:rPr>
          <w:rFonts w:ascii="Times New Roman" w:hAnsi="Times New Roman"/>
          <w:b/>
          <w:bCs/>
          <w:sz w:val="24"/>
          <w:szCs w:val="36"/>
        </w:rPr>
      </w:sdtEndPr>
      <w:sdtContent>
        <w:p>
          <w:pPr>
            <w:spacing w:line="240" w:lineRule="auto"/>
            <w:jc w:val="center"/>
            <w:rPr>
              <w:b/>
              <w:bCs/>
              <w:sz w:val="36"/>
              <w:szCs w:val="36"/>
            </w:rPr>
          </w:pPr>
          <w:r>
            <w:rPr>
              <w:rFonts w:ascii="宋体" w:hAnsi="宋体"/>
              <w:b/>
              <w:bCs/>
              <w:sz w:val="28"/>
              <w:szCs w:val="36"/>
            </w:rPr>
            <w:t>目</w:t>
          </w:r>
          <w:r>
            <w:rPr>
              <w:rFonts w:hint="eastAsia" w:ascii="宋体" w:hAnsi="宋体"/>
              <w:b/>
              <w:bCs/>
              <w:sz w:val="28"/>
              <w:szCs w:val="36"/>
              <w:lang w:val="en-US" w:eastAsia="zh-CN"/>
            </w:rPr>
            <w:t xml:space="preserve">  </w:t>
          </w:r>
          <w:r>
            <w:rPr>
              <w:rFonts w:ascii="宋体" w:hAnsi="宋体"/>
              <w:b/>
              <w:bCs/>
              <w:sz w:val="28"/>
              <w:szCs w:val="36"/>
            </w:rPr>
            <w:t>录</w:t>
          </w:r>
        </w:p>
        <w:p>
          <w:pPr>
            <w:pStyle w:val="10"/>
            <w:tabs>
              <w:tab w:val="right" w:leader="dot" w:pos="8306"/>
            </w:tabs>
          </w:pPr>
          <w:r>
            <w:fldChar w:fldCharType="begin"/>
          </w:r>
          <w:r>
            <w:instrText xml:space="preserve">TOC \o "1-2" \h \u </w:instrText>
          </w:r>
          <w:r>
            <w:fldChar w:fldCharType="separate"/>
          </w:r>
          <w:r>
            <w:fldChar w:fldCharType="begin"/>
          </w:r>
          <w:r>
            <w:instrText xml:space="preserve"> HYPERLINK \l _Toc14673 </w:instrText>
          </w:r>
          <w:r>
            <w:fldChar w:fldCharType="separate"/>
          </w:r>
          <w:r>
            <w:rPr>
              <w:rFonts w:hint="eastAsia"/>
            </w:rPr>
            <w:t>第一章  重大风险及重大事项提示</w:t>
          </w:r>
          <w:r>
            <w:tab/>
          </w:r>
          <w:r>
            <w:fldChar w:fldCharType="begin"/>
          </w:r>
          <w:r>
            <w:instrText xml:space="preserve"> PAGEREF _Toc14673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_Toc21394 </w:instrText>
          </w:r>
          <w:r>
            <w:fldChar w:fldCharType="separate"/>
          </w:r>
          <w:r>
            <w:rPr>
              <w:rFonts w:hint="eastAsia"/>
              <w:bCs/>
              <w:szCs w:val="22"/>
            </w:rPr>
            <w:t>一、重大风险提示及应对措施</w:t>
          </w:r>
          <w:r>
            <w:tab/>
          </w:r>
          <w:r>
            <w:fldChar w:fldCharType="begin"/>
          </w:r>
          <w:r>
            <w:instrText xml:space="preserve"> PAGEREF _Toc21394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_Toc6350 </w:instrText>
          </w:r>
          <w:r>
            <w:fldChar w:fldCharType="separate"/>
          </w:r>
          <w:r>
            <w:rPr>
              <w:rFonts w:hint="eastAsia"/>
            </w:rPr>
            <w:t>二、重大事项提示</w:t>
          </w:r>
          <w:r>
            <w:tab/>
          </w:r>
          <w:r>
            <w:fldChar w:fldCharType="begin"/>
          </w:r>
          <w:r>
            <w:instrText xml:space="preserve"> PAGEREF _Toc6350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_Toc27407 </w:instrText>
          </w:r>
          <w:r>
            <w:fldChar w:fldCharType="separate"/>
          </w:r>
          <w:r>
            <w:rPr>
              <w:rFonts w:hint="eastAsia"/>
            </w:rPr>
            <w:t>第二章  公司基本情况</w:t>
          </w:r>
          <w:r>
            <w:tab/>
          </w:r>
          <w:r>
            <w:fldChar w:fldCharType="begin"/>
          </w:r>
          <w:r>
            <w:instrText xml:space="preserve"> PAGEREF _Toc27407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_Toc13472 </w:instrText>
          </w:r>
          <w:r>
            <w:fldChar w:fldCharType="separate"/>
          </w:r>
          <w:r>
            <w:rPr>
              <w:rFonts w:hint="eastAsia"/>
            </w:rPr>
            <w:t>一、挂牌公司基本情况</w:t>
          </w:r>
          <w:r>
            <w:tab/>
          </w:r>
          <w:r>
            <w:fldChar w:fldCharType="begin"/>
          </w:r>
          <w:r>
            <w:instrText xml:space="preserve"> PAGEREF _Toc13472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_Toc25697 </w:instrText>
          </w:r>
          <w:r>
            <w:fldChar w:fldCharType="separate"/>
          </w:r>
          <w:r>
            <w:rPr>
              <w:rFonts w:hint="eastAsia"/>
            </w:rPr>
            <w:t>二、公司目前股权结构及股东情况</w:t>
          </w:r>
          <w:r>
            <w:tab/>
          </w:r>
          <w:r>
            <w:fldChar w:fldCharType="begin"/>
          </w:r>
          <w:r>
            <w:instrText xml:space="preserve"> PAGEREF _Toc25697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_Toc1910 </w:instrText>
          </w:r>
          <w:r>
            <w:fldChar w:fldCharType="separate"/>
          </w:r>
          <w:r>
            <w:rPr>
              <w:rFonts w:hint="eastAsia"/>
            </w:rPr>
            <w:t>三、公司组织结构</w:t>
          </w:r>
          <w:r>
            <w:tab/>
          </w:r>
          <w:r>
            <w:fldChar w:fldCharType="begin"/>
          </w:r>
          <w:r>
            <w:instrText xml:space="preserve"> PAGEREF _Toc1910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_Toc16410 </w:instrText>
          </w:r>
          <w:r>
            <w:fldChar w:fldCharType="separate"/>
          </w:r>
          <w:r>
            <w:rPr>
              <w:rFonts w:hint="eastAsia"/>
            </w:rPr>
            <w:t>四、公司主营</w:t>
          </w:r>
          <w:r>
            <w:rPr>
              <w:rFonts w:hint="eastAsia"/>
              <w:lang w:val="en-US" w:eastAsia="zh-CN"/>
            </w:rPr>
            <w:t>产品及业务</w:t>
          </w:r>
          <w:r>
            <w:rPr>
              <w:rFonts w:hint="eastAsia"/>
            </w:rPr>
            <w:t>情况</w:t>
          </w:r>
          <w:r>
            <w:tab/>
          </w:r>
          <w:r>
            <w:fldChar w:fldCharType="begin"/>
          </w:r>
          <w:r>
            <w:instrText xml:space="preserve"> PAGEREF _Toc16410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_Toc17843 </w:instrText>
          </w:r>
          <w:r>
            <w:fldChar w:fldCharType="separate"/>
          </w:r>
          <w:r>
            <w:rPr>
              <w:rFonts w:hint="eastAsia"/>
              <w:highlight w:val="none"/>
            </w:rPr>
            <w:t>五、公司财务报表简表</w:t>
          </w:r>
          <w:r>
            <w:tab/>
          </w:r>
          <w:r>
            <w:fldChar w:fldCharType="begin"/>
          </w:r>
          <w:r>
            <w:instrText xml:space="preserve"> PAGEREF _Toc17843 \h </w:instrText>
          </w:r>
          <w:r>
            <w:fldChar w:fldCharType="separate"/>
          </w:r>
          <w:r>
            <w:t>10</w:t>
          </w:r>
          <w:r>
            <w:fldChar w:fldCharType="end"/>
          </w:r>
          <w:r>
            <w:fldChar w:fldCharType="end"/>
          </w:r>
        </w:p>
        <w:p>
          <w:pPr>
            <w:pStyle w:val="11"/>
            <w:tabs>
              <w:tab w:val="right" w:leader="dot" w:pos="8306"/>
            </w:tabs>
          </w:pPr>
          <w:r>
            <w:fldChar w:fldCharType="begin"/>
          </w:r>
          <w:r>
            <w:instrText xml:space="preserve"> HYPERLINK \l _Toc9928 </w:instrText>
          </w:r>
          <w:r>
            <w:fldChar w:fldCharType="separate"/>
          </w:r>
          <w:r>
            <w:rPr>
              <w:rFonts w:hint="eastAsia"/>
            </w:rPr>
            <w:t>六、公司经营目标及计划</w:t>
          </w:r>
          <w:r>
            <w:tab/>
          </w:r>
          <w:r>
            <w:fldChar w:fldCharType="begin"/>
          </w:r>
          <w:r>
            <w:instrText xml:space="preserve"> PAGEREF _Toc9928 \h </w:instrText>
          </w:r>
          <w:r>
            <w:fldChar w:fldCharType="separate"/>
          </w:r>
          <w:r>
            <w:t>18</w:t>
          </w:r>
          <w:r>
            <w:fldChar w:fldCharType="end"/>
          </w:r>
          <w:r>
            <w:fldChar w:fldCharType="end"/>
          </w:r>
        </w:p>
        <w:p>
          <w:pPr>
            <w:pStyle w:val="10"/>
            <w:tabs>
              <w:tab w:val="right" w:leader="dot" w:pos="8306"/>
            </w:tabs>
          </w:pPr>
          <w:r>
            <w:fldChar w:fldCharType="begin"/>
          </w:r>
          <w:r>
            <w:instrText xml:space="preserve"> HYPERLINK \l _Toc27803 </w:instrText>
          </w:r>
          <w:r>
            <w:fldChar w:fldCharType="separate"/>
          </w:r>
          <w:r>
            <w:rPr>
              <w:rFonts w:hint="eastAsia"/>
            </w:rPr>
            <w:t>第三章 本次挂牌的有关机构</w:t>
          </w:r>
          <w:r>
            <w:tab/>
          </w:r>
          <w:r>
            <w:fldChar w:fldCharType="begin"/>
          </w:r>
          <w:r>
            <w:instrText xml:space="preserve"> PAGEREF _Toc27803 \h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_Toc25568 </w:instrText>
          </w:r>
          <w:r>
            <w:fldChar w:fldCharType="separate"/>
          </w:r>
          <w:r>
            <w:rPr>
              <w:rFonts w:hint="eastAsia" w:ascii="宋体" w:hAnsi="宋体"/>
              <w:bCs/>
              <w:szCs w:val="28"/>
            </w:rPr>
            <w:t>一、推荐机构</w:t>
          </w:r>
          <w:r>
            <w:tab/>
          </w:r>
          <w:r>
            <w:fldChar w:fldCharType="begin"/>
          </w:r>
          <w:r>
            <w:instrText xml:space="preserve"> PAGEREF _Toc25568 \h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_Toc22533 </w:instrText>
          </w:r>
          <w:r>
            <w:fldChar w:fldCharType="separate"/>
          </w:r>
          <w:r>
            <w:rPr>
              <w:rFonts w:hint="eastAsia" w:ascii="宋体" w:hAnsi="宋体"/>
              <w:bCs/>
              <w:szCs w:val="28"/>
              <w:highlight w:val="none"/>
            </w:rPr>
            <w:t>二、审计机构</w:t>
          </w:r>
          <w:r>
            <w:tab/>
          </w:r>
          <w:r>
            <w:fldChar w:fldCharType="begin"/>
          </w:r>
          <w:r>
            <w:instrText xml:space="preserve"> PAGEREF _Toc22533 \h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_Toc4398 </w:instrText>
          </w:r>
          <w:r>
            <w:fldChar w:fldCharType="separate"/>
          </w:r>
          <w:r>
            <w:rPr>
              <w:rFonts w:hint="eastAsia" w:ascii="宋体" w:hAnsi="宋体"/>
              <w:bCs/>
              <w:szCs w:val="28"/>
            </w:rPr>
            <w:t>三、股权登记托管机构</w:t>
          </w:r>
          <w:r>
            <w:tab/>
          </w:r>
          <w:r>
            <w:fldChar w:fldCharType="begin"/>
          </w:r>
          <w:r>
            <w:instrText xml:space="preserve"> PAGEREF _Toc4398 \h </w:instrText>
          </w:r>
          <w:r>
            <w:fldChar w:fldCharType="separate"/>
          </w:r>
          <w:r>
            <w:t>21</w:t>
          </w:r>
          <w:r>
            <w:fldChar w:fldCharType="end"/>
          </w:r>
          <w:r>
            <w:fldChar w:fldCharType="end"/>
          </w:r>
        </w:p>
        <w:p>
          <w:r>
            <w:fldChar w:fldCharType="end"/>
          </w:r>
        </w:p>
      </w:sdtContent>
    </w:sdt>
    <w:p/>
    <w:p>
      <w:r>
        <w:br w:type="page"/>
      </w:r>
      <w:bookmarkStart w:id="50" w:name="_GoBack"/>
      <w:bookmarkEnd w:id="50"/>
    </w:p>
    <w:p>
      <w:pPr>
        <w:pStyle w:val="2"/>
        <w:rPr>
          <w:rFonts w:ascii="仿宋" w:hAnsi="仿宋" w:eastAsia="仿宋" w:cs="仿宋"/>
          <w:bCs/>
          <w:szCs w:val="32"/>
        </w:rPr>
      </w:pPr>
      <w:bookmarkStart w:id="0" w:name="_Toc14673"/>
      <w:r>
        <w:rPr>
          <w:rFonts w:hint="eastAsia"/>
        </w:rPr>
        <w:t>第一章  重大风险及重大事项提示</w:t>
      </w:r>
      <w:bookmarkEnd w:id="0"/>
    </w:p>
    <w:p>
      <w:pPr>
        <w:pStyle w:val="3"/>
        <w:bidi w:val="0"/>
        <w:rPr>
          <w:rFonts w:hint="eastAsia"/>
          <w:b w:val="0"/>
          <w:bCs/>
          <w:sz w:val="24"/>
          <w:szCs w:val="22"/>
        </w:rPr>
      </w:pPr>
      <w:bookmarkStart w:id="1" w:name="_Toc21394"/>
      <w:bookmarkStart w:id="2" w:name="_Toc236113128"/>
      <w:bookmarkStart w:id="3" w:name="_Toc16996"/>
      <w:bookmarkStart w:id="4" w:name="_Toc236113885"/>
      <w:bookmarkStart w:id="5" w:name="_Toc236206525"/>
      <w:bookmarkStart w:id="6" w:name="_Toc280345465"/>
      <w:bookmarkStart w:id="7" w:name="_Toc245701698"/>
      <w:r>
        <w:rPr>
          <w:rFonts w:hint="eastAsia"/>
          <w:b w:val="0"/>
          <w:bCs/>
          <w:sz w:val="24"/>
          <w:szCs w:val="22"/>
        </w:rPr>
        <w:t>一、重大风险提示及应对措施</w:t>
      </w:r>
      <w:bookmarkEnd w:id="1"/>
    </w:p>
    <w:p>
      <w:pPr>
        <w:ind w:firstLine="480"/>
        <w:rPr>
          <w:rFonts w:hint="eastAsia"/>
        </w:rPr>
      </w:pPr>
      <w:r>
        <w:rPr>
          <w:rFonts w:hint="eastAsia"/>
        </w:rPr>
        <w:t>投资本公司的股权会涉及一系列的风险，因此，投资者在投资前，敬请将下列风险因素连同本挂牌转让说明书中其他内容一并考虑。下列风险因素是按照影响投资决策程度排序的，但该排序并不表示风险因素会依次发生。</w:t>
      </w:r>
    </w:p>
    <w:p>
      <w:pPr>
        <w:ind w:firstLine="480"/>
        <w:rPr>
          <w:rFonts w:hint="eastAsia"/>
          <w:b/>
          <w:bCs/>
        </w:rPr>
      </w:pPr>
      <w:r>
        <w:rPr>
          <w:rFonts w:hint="eastAsia"/>
          <w:b/>
          <w:bCs/>
        </w:rPr>
        <w:t>（一）实际控制人不当控制风险</w:t>
      </w:r>
    </w:p>
    <w:p>
      <w:pPr>
        <w:ind w:firstLine="480"/>
        <w:rPr>
          <w:rFonts w:hint="eastAsia"/>
          <w:b/>
          <w:bCs/>
        </w:rPr>
      </w:pPr>
      <w:r>
        <w:rPr>
          <w:rFonts w:hint="eastAsia"/>
          <w:b/>
          <w:bCs/>
        </w:rPr>
        <w:t>向德庆直接持有本公司69%的股权，是公司的控股股东。对公司发展战略、经营决策、人事安排、利润分配、关联交易和对外投资等重大事项具有较大的决定权。因此，公司正逐步建立并完善实控人治理结构，规范公司组织架构，减少实控人行使表决权对公司的经营、人事、财务等进行不当控制，影响公司经营和损害其他股东的风险。</w:t>
      </w:r>
    </w:p>
    <w:p>
      <w:pPr>
        <w:ind w:firstLine="480"/>
        <w:rPr>
          <w:rFonts w:hint="eastAsia"/>
          <w:b/>
          <w:bCs/>
        </w:rPr>
      </w:pPr>
      <w:r>
        <w:rPr>
          <w:rFonts w:hint="eastAsia"/>
          <w:b/>
          <w:bCs/>
        </w:rPr>
        <w:t>（二）市场竞争加剧风险</w:t>
      </w:r>
    </w:p>
    <w:p>
      <w:pPr>
        <w:ind w:firstLine="480"/>
        <w:rPr>
          <w:rFonts w:hint="eastAsia"/>
          <w:b/>
          <w:bCs/>
        </w:rPr>
      </w:pPr>
      <w:r>
        <w:rPr>
          <w:rFonts w:hint="eastAsia"/>
          <w:b/>
          <w:bCs/>
        </w:rPr>
        <w:t>化工产品贸易是一个竞争非常激烈的行业，但公司上下游客户合作稳定，在行业中树立了良好的商业信誉，赢得了众多客户的信赖与支持。如果公司未来不能进一步提升生产效率及能力和经营管理水平，则有可能面临因行业竞争加剧而导致的竞争地位下降的风险。</w:t>
      </w:r>
    </w:p>
    <w:p>
      <w:pPr>
        <w:ind w:firstLine="480"/>
        <w:rPr>
          <w:rFonts w:hint="eastAsia"/>
          <w:b/>
          <w:bCs/>
        </w:rPr>
      </w:pPr>
      <w:r>
        <w:rPr>
          <w:rFonts w:hint="eastAsia"/>
          <w:b/>
          <w:bCs/>
        </w:rPr>
        <w:t>对此，公司特构建优秀销售团队，提升团队执行力，树立良好的商业信誉，铸造品牌形象，提高产品竞争力，优化整合内外资源，实现价值链最大化，积累产业链上、下游稳定供应商及客户源，增加自身的行业竞争力。</w:t>
      </w:r>
    </w:p>
    <w:p>
      <w:pPr>
        <w:ind w:firstLine="480"/>
        <w:rPr>
          <w:rFonts w:hint="eastAsia"/>
          <w:b/>
          <w:bCs/>
        </w:rPr>
      </w:pPr>
      <w:r>
        <w:rPr>
          <w:rFonts w:hint="eastAsia"/>
          <w:b/>
          <w:bCs/>
        </w:rPr>
        <w:t>（三）公司治理风险</w:t>
      </w:r>
    </w:p>
    <w:p>
      <w:pPr>
        <w:ind w:firstLine="480"/>
        <w:rPr>
          <w:rFonts w:hint="eastAsia"/>
          <w:b/>
          <w:bCs/>
        </w:rPr>
      </w:pPr>
      <w:r>
        <w:rPr>
          <w:rFonts w:hint="eastAsia"/>
          <w:b/>
          <w:bCs/>
        </w:rPr>
        <w:t>公司目前处于成长期，机构架设较为简单，内部管理较为稳定，但随着公司资产规模和经营规模不断扩大，员工人数及组织机构日益扩大，经营决策、组织管理、风险控制的难度将加大。管理团队若不能适应营业规模、业务和资产规模扩张而相应提高管理水平，采取相应对策，存在一定的内部管理风险。对此，公司逐步建立健全了实控人治理机构，制定了适应企业现阶段发展的内部控制体系。</w:t>
      </w:r>
    </w:p>
    <w:p>
      <w:pPr>
        <w:ind w:firstLine="480"/>
        <w:rPr>
          <w:rFonts w:hint="eastAsia"/>
          <w:b/>
          <w:bCs/>
        </w:rPr>
      </w:pPr>
      <w:r>
        <w:rPr>
          <w:rFonts w:hint="eastAsia"/>
          <w:b/>
          <w:bCs/>
        </w:rPr>
        <w:t>（四）供应商管理风险</w:t>
      </w:r>
    </w:p>
    <w:p>
      <w:pPr>
        <w:ind w:firstLine="480"/>
        <w:rPr>
          <w:rFonts w:hint="eastAsia"/>
          <w:b/>
          <w:bCs/>
        </w:rPr>
      </w:pPr>
      <w:r>
        <w:rPr>
          <w:rFonts w:hint="eastAsia"/>
          <w:b/>
          <w:bCs/>
        </w:rPr>
        <w:t>公司存在部分自然人供应商和客户。一般情况下，与机构供应商相比较而言，自然人供应商在采购能力、支付能力、经营期限、经营规模和经营拓展能力等方面更容易受到市场优胜劣汰竞争机制和自身经营意愿的影响，从而导致其经营能力具有一定的局限性，如果公司对供应商选择不当、管理不善，有可能出现产品质量不达标或不能准时交货等问题，这将影响公司的信誉，给公司带来一定的风险。</w:t>
      </w:r>
    </w:p>
    <w:p>
      <w:pPr>
        <w:ind w:firstLine="480"/>
        <w:rPr>
          <w:rFonts w:hint="eastAsia"/>
          <w:b/>
          <w:bCs/>
        </w:rPr>
      </w:pPr>
      <w:r>
        <w:rPr>
          <w:rFonts w:hint="eastAsia"/>
          <w:b/>
          <w:bCs/>
        </w:rPr>
        <w:t>为此，公司对上游供应商不断进行筛选，淘汰小批量自然人供应商，保障材料供应基本以机构供应商为主。</w:t>
      </w:r>
    </w:p>
    <w:p>
      <w:pPr>
        <w:ind w:firstLine="480"/>
        <w:rPr>
          <w:rFonts w:hint="eastAsia"/>
          <w:b/>
          <w:bCs/>
        </w:rPr>
      </w:pPr>
      <w:r>
        <w:rPr>
          <w:rFonts w:hint="eastAsia"/>
          <w:b/>
          <w:bCs/>
        </w:rPr>
        <w:t xml:space="preserve">（五）内部管理风险 </w:t>
      </w:r>
    </w:p>
    <w:p>
      <w:pPr>
        <w:ind w:firstLine="480"/>
        <w:rPr>
          <w:b/>
          <w:bCs/>
        </w:rPr>
      </w:pPr>
      <w:r>
        <w:rPr>
          <w:rFonts w:hint="eastAsia"/>
          <w:b/>
          <w:bCs/>
        </w:rPr>
        <w:t>公司成立后，建立健全了实控人治理结构，完善了现代化企业发展的内部控制体系，并陆续推出各项内部控制制度及相关细则。但是，由于部分管理制度的执行尚未经过实践检验，公司治理和内部控制体系也需要在生产经营过程中逐步完善，并且，随着公司的快速发展，经营规模的不断扩大，对公司治理结构的要求将会越来越高。若公司未能逐步完善治理结构，提升内部管理水平，可能在未来经营中因内部管理跟不上公司发展而影响公司的持续稳定发展。为此，公司积极完善公司内部治理结构，建立了全方位的内部管理监督流程以规避内部管理失误带来的风险。</w:t>
      </w:r>
    </w:p>
    <w:bookmarkEnd w:id="2"/>
    <w:bookmarkEnd w:id="3"/>
    <w:bookmarkEnd w:id="4"/>
    <w:bookmarkEnd w:id="5"/>
    <w:bookmarkEnd w:id="6"/>
    <w:bookmarkEnd w:id="7"/>
    <w:p>
      <w:pPr>
        <w:pStyle w:val="3"/>
        <w:ind w:left="480"/>
        <w:rPr>
          <w:rFonts w:ascii="仿宋" w:hAnsi="仿宋" w:eastAsia="仿宋" w:cs="仿宋"/>
        </w:rPr>
      </w:pPr>
      <w:bookmarkStart w:id="8" w:name="_Toc5420"/>
      <w:bookmarkStart w:id="9" w:name="_Toc23392_WPSOffice_Level2"/>
      <w:bookmarkStart w:id="10" w:name="_Toc1711"/>
      <w:bookmarkStart w:id="11" w:name="_Toc25004"/>
      <w:bookmarkStart w:id="12" w:name="_Toc6350"/>
      <w:r>
        <w:rPr>
          <w:rFonts w:hint="eastAsia"/>
        </w:rPr>
        <w:t>二、重大事项提示</w:t>
      </w:r>
      <w:bookmarkEnd w:id="8"/>
      <w:bookmarkEnd w:id="9"/>
      <w:bookmarkEnd w:id="10"/>
      <w:bookmarkEnd w:id="11"/>
      <w:bookmarkEnd w:id="12"/>
    </w:p>
    <w:p>
      <w:pPr>
        <w:ind w:firstLine="480" w:firstLineChars="200"/>
        <w:outlineLvl w:val="2"/>
        <w:rPr>
          <w:rStyle w:val="20"/>
          <w:b w:val="0"/>
          <w:bCs w:val="0"/>
          <w:sz w:val="24"/>
          <w:szCs w:val="20"/>
        </w:rPr>
      </w:pPr>
      <w:r>
        <w:rPr>
          <w:rStyle w:val="20"/>
          <w:b w:val="0"/>
          <w:bCs w:val="0"/>
          <w:sz w:val="24"/>
          <w:szCs w:val="20"/>
        </w:rPr>
        <w:t>（一）股东关于自愿锁定股权的承诺</w:t>
      </w:r>
    </w:p>
    <w:p>
      <w:pPr>
        <w:ind w:firstLine="480" w:firstLineChars="200"/>
      </w:pPr>
      <w:r>
        <w:rPr>
          <w:rFonts w:hint="eastAsia"/>
        </w:rPr>
        <w:t>公司股东</w:t>
      </w:r>
      <w:r>
        <w:rPr>
          <w:rFonts w:hint="eastAsia"/>
          <w:lang w:val="en-US" w:eastAsia="zh-CN"/>
        </w:rPr>
        <w:t>向德庆、何恒广</w:t>
      </w:r>
      <w:r>
        <w:rPr>
          <w:rFonts w:hint="eastAsia"/>
        </w:rPr>
        <w:t>承诺：“自</w:t>
      </w:r>
      <w:r>
        <w:rPr>
          <w:rFonts w:hint="eastAsia"/>
          <w:lang w:eastAsia="zh-CN"/>
        </w:rPr>
        <w:t>淄博德昶泰经贸有限公司</w:t>
      </w:r>
      <w:r>
        <w:rPr>
          <w:rFonts w:hint="eastAsia"/>
        </w:rPr>
        <w:t xml:space="preserve">挂牌成功之日起十二个月内，不转让或者委托他人管理其持有的公司股份，也不由公司收购该部分股份。” </w:t>
      </w:r>
    </w:p>
    <w:p>
      <w:pPr>
        <w:ind w:firstLine="480" w:firstLineChars="200"/>
        <w:outlineLvl w:val="2"/>
        <w:rPr>
          <w:rStyle w:val="20"/>
          <w:b w:val="0"/>
          <w:bCs w:val="0"/>
          <w:sz w:val="24"/>
          <w:szCs w:val="24"/>
        </w:rPr>
      </w:pPr>
      <w:r>
        <w:rPr>
          <w:rStyle w:val="20"/>
          <w:rFonts w:hint="eastAsia"/>
          <w:b w:val="0"/>
          <w:bCs w:val="0"/>
          <w:sz w:val="24"/>
          <w:szCs w:val="24"/>
        </w:rPr>
        <w:t>（二）股利分配政策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 xml:space="preserve">根据《公司法》等法律法规，公司股权挂牌后适用的《公司章程》，此次股权挂牌后，公司的股利分配政策如下：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1、决策机制与程序：公司的利润分配政策和具体股利分配方案需经公司股东会研讨后由公司执行董事审核批准；执行董事在制订利润分配政策、股利分配方案时应充分考虑其他股东、监事会和公司管理层的意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2、利润的分配形式：公司可采取现金、股份或者现金股份相结合的方式分配股利。公司将优先考虑采取现金方式分配股利；若公司增长快速，在考虑实际经营情况的基础上，可采取股份或者现金股份相结合的方式分配股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3、公司根据外部经营环境或者自身经营状况对利润分配政策进行调整的，调整后的利润分配政策不得违反齐鲁股权交易中心有关规定，有关调整利润分配政策的议案需经公司股东会研讨后由公司执行董事审核批准。</w:t>
      </w:r>
    </w:p>
    <w:p>
      <w:pPr>
        <w:pStyle w:val="2"/>
      </w:pPr>
      <w:bookmarkStart w:id="13" w:name="_Toc27407"/>
      <w:r>
        <w:rPr>
          <w:rFonts w:hint="eastAsia"/>
        </w:rPr>
        <w:t>第二章  公司基本情况</w:t>
      </w:r>
      <w:bookmarkEnd w:id="13"/>
    </w:p>
    <w:p>
      <w:pPr>
        <w:pStyle w:val="3"/>
        <w:ind w:left="480"/>
      </w:pPr>
      <w:bookmarkStart w:id="14" w:name="_Toc13472"/>
      <w:r>
        <w:rPr>
          <w:rFonts w:hint="eastAsia"/>
        </w:rPr>
        <w:t>一、挂牌公司基本情况</w:t>
      </w:r>
      <w:bookmarkEnd w:id="14"/>
    </w:p>
    <w:p>
      <w:pPr>
        <w:ind w:firstLine="480"/>
        <w:rPr>
          <w:rFonts w:hint="eastAsia" w:ascii="宋体" w:hAnsi="宋体" w:eastAsia="宋体"/>
          <w:highlight w:val="none"/>
          <w:lang w:eastAsia="zh-CN"/>
        </w:rPr>
      </w:pPr>
      <w:r>
        <w:rPr>
          <w:rFonts w:hint="eastAsia" w:ascii="宋体" w:hAnsi="宋体"/>
        </w:rPr>
        <w:t>公司名称：</w:t>
      </w:r>
      <w:r>
        <w:rPr>
          <w:rFonts w:hint="eastAsia" w:ascii="宋体" w:hAnsi="宋体"/>
          <w:lang w:eastAsia="zh-CN"/>
        </w:rPr>
        <w:t>淄博德昶泰经贸有限公司</w:t>
      </w:r>
    </w:p>
    <w:p>
      <w:pPr>
        <w:ind w:firstLine="480"/>
        <w:rPr>
          <w:rFonts w:ascii="宋体" w:hAnsi="宋体"/>
          <w:highlight w:val="none"/>
        </w:rPr>
      </w:pPr>
      <w:r>
        <w:rPr>
          <w:rFonts w:hint="eastAsia" w:ascii="宋体" w:hAnsi="宋体"/>
          <w:highlight w:val="none"/>
        </w:rPr>
        <w:t>注册资本：</w:t>
      </w:r>
      <w:r>
        <w:rPr>
          <w:rFonts w:ascii="宋体" w:hAnsi="宋体"/>
          <w:highlight w:val="none"/>
        </w:rPr>
        <w:t xml:space="preserve"> </w:t>
      </w:r>
      <w:r>
        <w:rPr>
          <w:rFonts w:hint="eastAsia" w:ascii="宋体" w:hAnsi="宋体"/>
          <w:highlight w:val="none"/>
          <w:lang w:val="en-US" w:eastAsia="zh-CN"/>
        </w:rPr>
        <w:t>500</w:t>
      </w:r>
      <w:r>
        <w:rPr>
          <w:rFonts w:hint="eastAsia" w:ascii="宋体" w:hAnsi="宋体"/>
          <w:highlight w:val="none"/>
        </w:rPr>
        <w:t>万元人民币</w:t>
      </w:r>
    </w:p>
    <w:p>
      <w:pPr>
        <w:tabs>
          <w:tab w:val="left" w:pos="6379"/>
        </w:tabs>
        <w:ind w:firstLine="480"/>
        <w:rPr>
          <w:rFonts w:ascii="宋体" w:hAnsi="宋体"/>
          <w:highlight w:val="none"/>
        </w:rPr>
      </w:pPr>
      <w:r>
        <w:rPr>
          <w:rFonts w:hint="eastAsia" w:ascii="宋体" w:hAnsi="宋体"/>
          <w:highlight w:val="none"/>
        </w:rPr>
        <w:t>实收资本：</w:t>
      </w:r>
      <w:r>
        <w:rPr>
          <w:rFonts w:hint="eastAsia" w:ascii="宋体" w:hAnsi="宋体"/>
          <w:highlight w:val="none"/>
          <w:lang w:val="en-US" w:eastAsia="zh-CN"/>
        </w:rPr>
        <w:t xml:space="preserve"> 50</w:t>
      </w:r>
      <w:r>
        <w:rPr>
          <w:rFonts w:hint="eastAsia" w:ascii="宋体" w:hAnsi="宋体"/>
          <w:highlight w:val="none"/>
        </w:rPr>
        <w:t>万元人民币</w:t>
      </w:r>
    </w:p>
    <w:p>
      <w:pPr>
        <w:tabs>
          <w:tab w:val="left" w:pos="6379"/>
        </w:tabs>
        <w:ind w:firstLine="480"/>
        <w:rPr>
          <w:rFonts w:hint="eastAsia" w:ascii="宋体" w:hAnsi="宋体" w:eastAsia="宋体"/>
          <w:lang w:eastAsia="zh-CN"/>
        </w:rPr>
      </w:pPr>
      <w:r>
        <w:rPr>
          <w:rFonts w:hint="eastAsia" w:ascii="宋体" w:hAnsi="宋体"/>
          <w:highlight w:val="none"/>
        </w:rPr>
        <w:t>法定代表人：</w:t>
      </w:r>
      <w:r>
        <w:rPr>
          <w:rFonts w:hint="eastAsia" w:ascii="宋体" w:hAnsi="宋体"/>
          <w:lang w:val="en-US" w:eastAsia="zh-CN"/>
        </w:rPr>
        <w:t>何恒广</w:t>
      </w:r>
    </w:p>
    <w:p>
      <w:pPr>
        <w:ind w:firstLine="480"/>
        <w:rPr>
          <w:rFonts w:ascii="宋体" w:hAnsi="宋体"/>
        </w:rPr>
      </w:pPr>
      <w:r>
        <w:rPr>
          <w:rFonts w:hint="eastAsia" w:ascii="宋体" w:hAnsi="宋体"/>
        </w:rPr>
        <w:t>统一社会信用代码：9137030378716469XX</w:t>
      </w:r>
    </w:p>
    <w:p>
      <w:pPr>
        <w:ind w:firstLine="480"/>
        <w:rPr>
          <w:rFonts w:hint="default" w:ascii="宋体" w:hAnsi="宋体" w:eastAsia="宋体"/>
          <w:lang w:val="en-US" w:eastAsia="zh-CN"/>
        </w:rPr>
      </w:pPr>
      <w:r>
        <w:rPr>
          <w:rFonts w:hint="eastAsia" w:ascii="宋体" w:hAnsi="宋体"/>
        </w:rPr>
        <w:t>成立日期：</w:t>
      </w:r>
      <w:r>
        <w:rPr>
          <w:rFonts w:hint="eastAsia" w:ascii="宋体" w:hAnsi="宋体"/>
          <w:lang w:val="en-US" w:eastAsia="zh-CN"/>
        </w:rPr>
        <w:t>2006-3-31</w:t>
      </w:r>
    </w:p>
    <w:p>
      <w:pPr>
        <w:ind w:firstLine="480"/>
        <w:rPr>
          <w:rFonts w:ascii="宋体" w:hAnsi="宋体"/>
        </w:rPr>
      </w:pPr>
      <w:r>
        <w:rPr>
          <w:rFonts w:hint="eastAsia" w:ascii="宋体" w:hAnsi="宋体"/>
        </w:rPr>
        <w:t xml:space="preserve">住所：山东省淄博市高新区中润大道129号313室 </w:t>
      </w:r>
    </w:p>
    <w:p>
      <w:pPr>
        <w:ind w:firstLine="480"/>
        <w:rPr>
          <w:rFonts w:ascii="宋体" w:hAnsi="宋体"/>
        </w:rPr>
      </w:pPr>
      <w:r>
        <w:rPr>
          <w:rFonts w:hint="eastAsia" w:ascii="宋体" w:hAnsi="宋体"/>
        </w:rPr>
        <w:t>经营范围</w:t>
      </w:r>
      <w:bookmarkStart w:id="15" w:name="_Hlk22721649"/>
      <w:r>
        <w:rPr>
          <w:rFonts w:hint="eastAsia" w:ascii="宋体" w:hAnsi="宋体"/>
        </w:rPr>
        <w:t>：</w:t>
      </w:r>
      <w:bookmarkEnd w:id="15"/>
      <w:r>
        <w:rPr>
          <w:rFonts w:hint="eastAsia" w:ascii="宋体" w:hAnsi="宋体"/>
        </w:rPr>
        <w:t>危险化学品经营。（依法须经批准的项目，经相关部门批准后方可开展经营活动，具体经营项目以相关部门批准文件或许可证件为准）一般项目：化工产品销售（不含许可类化工产品）；专用化学产品销售（不含危险化学品）；建筑材料销售；五金产品批发；非金属矿及制品销售；劳动保护用品销售；日用百货销售；电子产品销售；农副产品销售；信息咨询服务（不含许可类信息咨询服务）；环境保护专用设备销售；环保咨询服务；农林牧副渔业专业机械的安装、维修；农、林、牧、副、渔业专业机械的销售；农业机械销售；有色金属合金销售；煤炭及制品销售；金属矿石销售；选矿；技术服务、技术开发、技术咨询、技术交流、技术转让、技术推广。（除依法须经批准的项目外，凭营业执照依法自主开展经营活动）。</w:t>
      </w:r>
    </w:p>
    <w:p>
      <w:pPr>
        <w:ind w:firstLine="480"/>
        <w:rPr>
          <w:rFonts w:hint="default" w:ascii="宋体" w:hAnsi="宋体" w:eastAsia="宋体"/>
          <w:lang w:val="en-US" w:eastAsia="zh-CN"/>
        </w:rPr>
      </w:pPr>
      <w:r>
        <w:rPr>
          <w:rFonts w:hint="eastAsia" w:ascii="宋体" w:hAnsi="宋体"/>
        </w:rPr>
        <w:t>主要产品：</w:t>
      </w:r>
      <w:r>
        <w:rPr>
          <w:rFonts w:hint="eastAsia" w:ascii="宋体" w:hAnsi="宋体"/>
          <w:lang w:val="en-US" w:eastAsia="zh-CN"/>
        </w:rPr>
        <w:t>基本有机化工原料及基础化工产品</w:t>
      </w:r>
    </w:p>
    <w:p>
      <w:pPr>
        <w:ind w:firstLine="480"/>
        <w:rPr>
          <w:rFonts w:ascii="宋体" w:hAnsi="宋体"/>
        </w:rPr>
      </w:pPr>
      <w:r>
        <w:rPr>
          <w:rFonts w:hint="eastAsia" w:ascii="宋体" w:hAnsi="宋体"/>
        </w:rPr>
        <w:t>邮政编码：255000</w:t>
      </w:r>
    </w:p>
    <w:p>
      <w:pPr>
        <w:ind w:firstLine="480"/>
        <w:rPr>
          <w:rFonts w:ascii="宋体" w:hAnsi="宋体"/>
        </w:rPr>
      </w:pPr>
      <w:r>
        <w:rPr>
          <w:rFonts w:hint="eastAsia" w:ascii="宋体" w:hAnsi="宋体"/>
        </w:rPr>
        <w:t>电子邮箱：340661617@qq.com</w:t>
      </w:r>
    </w:p>
    <w:p>
      <w:pPr>
        <w:ind w:firstLine="480"/>
        <w:rPr>
          <w:rFonts w:hint="default" w:ascii="宋体" w:hAnsi="宋体" w:eastAsia="宋体"/>
          <w:lang w:val="en-US" w:eastAsia="zh-CN"/>
        </w:rPr>
      </w:pPr>
      <w:r>
        <w:rPr>
          <w:rFonts w:hint="eastAsia" w:ascii="宋体" w:hAnsi="宋体"/>
        </w:rPr>
        <w:t>电话：18</w:t>
      </w:r>
      <w:r>
        <w:rPr>
          <w:rFonts w:hint="eastAsia" w:ascii="宋体" w:hAnsi="宋体"/>
          <w:lang w:val="en-US" w:eastAsia="zh-CN"/>
        </w:rPr>
        <w:t>560713360</w:t>
      </w:r>
    </w:p>
    <w:p>
      <w:pPr>
        <w:ind w:firstLine="480"/>
        <w:rPr>
          <w:rFonts w:ascii="宋体" w:hAnsi="宋体"/>
        </w:rPr>
      </w:pPr>
      <w:r>
        <w:rPr>
          <w:rFonts w:hint="eastAsia" w:ascii="宋体" w:hAnsi="宋体"/>
        </w:rPr>
        <w:t>传真：无</w:t>
      </w:r>
    </w:p>
    <w:p>
      <w:pPr>
        <w:ind w:firstLine="480"/>
        <w:rPr>
          <w:rFonts w:hint="default" w:ascii="宋体" w:hAnsi="宋体" w:eastAsia="宋体"/>
          <w:lang w:val="en-US" w:eastAsia="zh-CN"/>
        </w:rPr>
      </w:pPr>
      <w:r>
        <w:rPr>
          <w:rFonts w:hint="eastAsia" w:ascii="宋体" w:hAnsi="宋体"/>
        </w:rPr>
        <w:t>信息披露事务负责人：</w:t>
      </w:r>
      <w:r>
        <w:rPr>
          <w:rFonts w:hint="eastAsia" w:ascii="宋体" w:hAnsi="宋体"/>
          <w:lang w:val="en-US" w:eastAsia="zh-CN"/>
        </w:rPr>
        <w:t>王月皎</w:t>
      </w:r>
    </w:p>
    <w:p>
      <w:pPr>
        <w:ind w:firstLine="480"/>
        <w:rPr>
          <w:rFonts w:hint="eastAsia" w:ascii="宋体" w:hAnsi="宋体"/>
          <w:lang w:val="en-US" w:eastAsia="zh-CN"/>
        </w:rPr>
      </w:pPr>
      <w:bookmarkStart w:id="16" w:name="_Hlk49386094"/>
      <w:r>
        <w:rPr>
          <w:rFonts w:hint="eastAsia" w:ascii="宋体" w:hAnsi="宋体"/>
          <w:lang w:val="en-US" w:eastAsia="zh-CN"/>
        </w:rPr>
        <w:t>淄博德昶泰经贸有限公司成立于2006年3月31日，位于山东省淄博市高新区中润大道129号313室，专业从事基本有机化工原料及基础化工产品贸易。</w:t>
      </w:r>
    </w:p>
    <w:bookmarkEnd w:id="16"/>
    <w:p>
      <w:pPr>
        <w:ind w:firstLine="480"/>
        <w:rPr>
          <w:rFonts w:ascii="宋体" w:hAnsi="宋体"/>
        </w:rPr>
      </w:pPr>
      <w:r>
        <w:rPr>
          <w:rFonts w:hint="eastAsia" w:ascii="宋体" w:hAnsi="宋体"/>
          <w:lang w:val="en-US" w:eastAsia="zh-CN"/>
        </w:rPr>
        <w:t>自成立以来，公司终坚持以质量求生存，以信誉求发展的宗旨，秉承“质量第一、信誉至上”的经营宗旨，始终坚持“以客户为中心，为客户创造价值”的核心价值观，灵活运用自身丰富的市场经验、专业的产品知识，诚挚地为客户及供应商服务</w:t>
      </w:r>
      <w:r>
        <w:rPr>
          <w:rFonts w:hint="eastAsia" w:ascii="宋体" w:hAnsi="宋体"/>
          <w:lang w:eastAsia="zh-CN"/>
        </w:rPr>
        <w:t>。</w:t>
      </w:r>
    </w:p>
    <w:p>
      <w:pPr>
        <w:pStyle w:val="3"/>
        <w:ind w:left="480"/>
        <w:rPr>
          <w:rFonts w:ascii="仿宋" w:hAnsi="仿宋" w:eastAsia="仿宋" w:cs="仿宋"/>
          <w:szCs w:val="32"/>
        </w:rPr>
      </w:pPr>
      <w:bookmarkStart w:id="17" w:name="_Toc25697"/>
      <w:r>
        <w:rPr>
          <w:rFonts w:hint="eastAsia"/>
        </w:rPr>
        <w:t>二、公司目前股权结构及股东情况</w:t>
      </w:r>
      <w:bookmarkEnd w:id="17"/>
    </w:p>
    <w:p>
      <w:pPr>
        <w:ind w:firstLine="480" w:firstLineChars="200"/>
      </w:pPr>
      <w:bookmarkStart w:id="18" w:name="_Toc228431325"/>
      <w:bookmarkStart w:id="19" w:name="_Toc228433056"/>
      <w:bookmarkStart w:id="20" w:name="_Toc228505923"/>
      <w:bookmarkStart w:id="21" w:name="_Toc229469622"/>
      <w:bookmarkStart w:id="22" w:name="_Toc27074"/>
      <w:r>
        <w:rPr>
          <w:rFonts w:hint="eastAsia"/>
        </w:rPr>
        <w:t>（一）股权结构</w:t>
      </w:r>
      <w:bookmarkEnd w:id="18"/>
      <w:bookmarkEnd w:id="19"/>
      <w:bookmarkEnd w:id="20"/>
      <w:bookmarkEnd w:id="21"/>
      <w:r>
        <w:rPr>
          <w:rFonts w:hint="eastAsia"/>
        </w:rPr>
        <w:t>图</w:t>
      </w:r>
      <w:bookmarkStart w:id="23" w:name="_Toc236113118"/>
      <w:bookmarkStart w:id="24" w:name="_Toc236206515"/>
      <w:bookmarkStart w:id="25" w:name="_Toc236113875"/>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082"/>
        <w:gridCol w:w="2386"/>
        <w:gridCol w:w="1129"/>
        <w:gridCol w:w="854"/>
        <w:gridCol w:w="97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 w:type="pct"/>
            <w:tcBorders>
              <w:top w:val="double" w:color="auto" w:sz="4" w:space="0"/>
              <w:left w:val="double" w:color="auto" w:sz="4" w:space="0"/>
              <w:right w:val="single" w:color="auto" w:sz="4" w:space="0"/>
            </w:tcBorders>
            <w:vAlign w:val="center"/>
          </w:tcPr>
          <w:p>
            <w:pPr>
              <w:jc w:val="center"/>
              <w:rPr>
                <w:rFonts w:ascii="宋体" w:hAnsi="宋体"/>
              </w:rPr>
            </w:pPr>
            <w:r>
              <w:rPr>
                <w:rFonts w:hint="eastAsia" w:ascii="宋体" w:hAnsi="宋体"/>
              </w:rPr>
              <w:t>序号</w:t>
            </w:r>
          </w:p>
        </w:tc>
        <w:tc>
          <w:tcPr>
            <w:tcW w:w="634"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股东名称</w:t>
            </w:r>
          </w:p>
        </w:tc>
        <w:tc>
          <w:tcPr>
            <w:tcW w:w="1399"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证件号码</w:t>
            </w:r>
          </w:p>
        </w:tc>
        <w:tc>
          <w:tcPr>
            <w:tcW w:w="662"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认缴出资额</w:t>
            </w:r>
            <w:r>
              <w:rPr>
                <w:rFonts w:hint="eastAsia" w:ascii="宋体" w:hAnsi="宋体"/>
                <w:lang w:val="en-US" w:eastAsia="zh-CN"/>
              </w:rPr>
              <w:t xml:space="preserve">  </w:t>
            </w:r>
            <w:r>
              <w:rPr>
                <w:rFonts w:hint="eastAsia" w:ascii="宋体" w:hAnsi="宋体"/>
              </w:rPr>
              <w:t>（万元）</w:t>
            </w:r>
          </w:p>
        </w:tc>
        <w:tc>
          <w:tcPr>
            <w:tcW w:w="501"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出资比例</w:t>
            </w:r>
          </w:p>
        </w:tc>
        <w:tc>
          <w:tcPr>
            <w:tcW w:w="570"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出资方式</w:t>
            </w:r>
          </w:p>
        </w:tc>
        <w:tc>
          <w:tcPr>
            <w:tcW w:w="983" w:type="pct"/>
            <w:tcBorders>
              <w:top w:val="double" w:color="auto" w:sz="4" w:space="0"/>
              <w:left w:val="single" w:color="auto" w:sz="4" w:space="0"/>
              <w:right w:val="double" w:color="auto" w:sz="4" w:space="0"/>
            </w:tcBorders>
            <w:vAlign w:val="center"/>
          </w:tcPr>
          <w:p>
            <w:pPr>
              <w:jc w:val="center"/>
              <w:rPr>
                <w:rFonts w:ascii="宋体" w:hAnsi="宋体"/>
              </w:rPr>
            </w:pPr>
            <w:r>
              <w:rPr>
                <w:rFonts w:hint="eastAsia" w:ascii="宋体" w:hAnsi="宋体"/>
              </w:rPr>
              <w:t>认缴出资日期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 w:type="pct"/>
            <w:tcBorders>
              <w:left w:val="doub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1</w:t>
            </w:r>
          </w:p>
        </w:tc>
        <w:tc>
          <w:tcPr>
            <w:tcW w:w="634" w:type="pct"/>
            <w:tcBorders>
              <w:left w:val="single" w:color="auto" w:sz="4" w:space="0"/>
              <w:right w:val="single" w:color="auto" w:sz="4" w:space="0"/>
            </w:tcBorders>
            <w:vAlign w:val="center"/>
          </w:tcPr>
          <w:p>
            <w:pPr>
              <w:jc w:val="center"/>
              <w:rPr>
                <w:rFonts w:hint="eastAsia" w:ascii="宋体" w:hAnsi="宋体" w:eastAsia="宋体"/>
                <w:highlight w:val="none"/>
                <w:lang w:eastAsia="zh-CN"/>
              </w:rPr>
            </w:pPr>
            <w:r>
              <w:rPr>
                <w:rFonts w:hint="eastAsia" w:ascii="宋体" w:hAnsi="宋体" w:eastAsia="宋体"/>
                <w:highlight w:val="none"/>
                <w:lang w:eastAsia="zh-CN"/>
              </w:rPr>
              <w:t>向德庆</w:t>
            </w:r>
          </w:p>
        </w:tc>
        <w:tc>
          <w:tcPr>
            <w:tcW w:w="1399" w:type="pct"/>
            <w:tcBorders>
              <w:left w:val="single" w:color="auto" w:sz="4" w:space="0"/>
              <w:right w:val="single" w:color="auto" w:sz="4" w:space="0"/>
            </w:tcBorders>
            <w:vAlign w:val="center"/>
          </w:tcPr>
          <w:p>
            <w:pPr>
              <w:jc w:val="center"/>
              <w:rPr>
                <w:rFonts w:hint="default"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370303197106236013</w:t>
            </w:r>
          </w:p>
        </w:tc>
        <w:tc>
          <w:tcPr>
            <w:tcW w:w="662"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345</w:t>
            </w:r>
          </w:p>
        </w:tc>
        <w:tc>
          <w:tcPr>
            <w:tcW w:w="501"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69%</w:t>
            </w:r>
          </w:p>
        </w:tc>
        <w:tc>
          <w:tcPr>
            <w:tcW w:w="570"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货币</w:t>
            </w:r>
          </w:p>
        </w:tc>
        <w:tc>
          <w:tcPr>
            <w:tcW w:w="983" w:type="pct"/>
            <w:tcBorders>
              <w:left w:val="single" w:color="auto" w:sz="4" w:space="0"/>
              <w:right w:val="double" w:color="auto" w:sz="4" w:space="0"/>
            </w:tcBorders>
            <w:vAlign w:val="center"/>
          </w:tcPr>
          <w:p>
            <w:pPr>
              <w:jc w:val="center"/>
              <w:rPr>
                <w:rFonts w:hint="default" w:ascii="宋体" w:hAnsi="宋体" w:eastAsia="宋体"/>
                <w:highlight w:val="none"/>
                <w:lang w:val="en-US" w:eastAsia="zh-CN"/>
              </w:rPr>
            </w:pPr>
            <w:r>
              <w:rPr>
                <w:rFonts w:hint="default" w:ascii="宋体" w:hAnsi="宋体" w:eastAsia="宋体"/>
                <w:highlight w:val="none"/>
                <w:lang w:val="en-US" w:eastAsia="zh-CN"/>
              </w:rPr>
              <w:t>2026-12-31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 w:type="pct"/>
            <w:tcBorders>
              <w:left w:val="double" w:color="auto" w:sz="4" w:space="0"/>
              <w:right w:val="single" w:color="auto" w:sz="4" w:space="0"/>
            </w:tcBorders>
            <w:vAlign w:val="center"/>
          </w:tcPr>
          <w:p>
            <w:pPr>
              <w:jc w:val="center"/>
              <w:rPr>
                <w:rFonts w:hint="eastAsia" w:ascii="宋体" w:hAnsi="宋体" w:eastAsia="宋体"/>
                <w:highlight w:val="none"/>
                <w:lang w:val="en-US" w:eastAsia="zh-CN"/>
              </w:rPr>
            </w:pPr>
            <w:r>
              <w:rPr>
                <w:rFonts w:hint="eastAsia" w:ascii="宋体" w:hAnsi="宋体"/>
                <w:highlight w:val="none"/>
                <w:lang w:val="en-US" w:eastAsia="zh-CN"/>
              </w:rPr>
              <w:t>2</w:t>
            </w:r>
          </w:p>
        </w:tc>
        <w:tc>
          <w:tcPr>
            <w:tcW w:w="634" w:type="pct"/>
            <w:tcBorders>
              <w:left w:val="single" w:color="auto" w:sz="4" w:space="0"/>
              <w:right w:val="single" w:color="auto" w:sz="4" w:space="0"/>
            </w:tcBorders>
            <w:vAlign w:val="center"/>
          </w:tcPr>
          <w:p>
            <w:pPr>
              <w:jc w:val="center"/>
              <w:rPr>
                <w:rFonts w:hint="eastAsia" w:ascii="宋体" w:hAnsi="宋体"/>
                <w:highlight w:val="none"/>
                <w:lang w:val="en-US" w:eastAsia="zh-CN"/>
              </w:rPr>
            </w:pPr>
            <w:r>
              <w:rPr>
                <w:rFonts w:hint="eastAsia" w:ascii="宋体" w:hAnsi="宋体"/>
                <w:highlight w:val="none"/>
                <w:lang w:val="en-US" w:eastAsia="zh-CN"/>
              </w:rPr>
              <w:t>何恒广</w:t>
            </w:r>
          </w:p>
        </w:tc>
        <w:tc>
          <w:tcPr>
            <w:tcW w:w="1399" w:type="pct"/>
            <w:tcBorders>
              <w:left w:val="single" w:color="auto" w:sz="4" w:space="0"/>
              <w:right w:val="single" w:color="auto" w:sz="4" w:space="0"/>
            </w:tcBorders>
            <w:vAlign w:val="center"/>
          </w:tcPr>
          <w:p>
            <w:pPr>
              <w:jc w:val="center"/>
              <w:rPr>
                <w:rFonts w:hint="default" w:ascii="宋体" w:hAnsi="宋体"/>
                <w:highlight w:val="none"/>
                <w:lang w:val="en-US" w:eastAsia="zh-CN"/>
              </w:rPr>
            </w:pPr>
            <w:r>
              <w:rPr>
                <w:rFonts w:hint="eastAsia" w:ascii="宋体" w:hAnsi="宋体"/>
                <w:highlight w:val="none"/>
                <w:lang w:val="en-US" w:eastAsia="zh-CN"/>
              </w:rPr>
              <w:t>370303197305136015</w:t>
            </w:r>
          </w:p>
        </w:tc>
        <w:tc>
          <w:tcPr>
            <w:tcW w:w="662" w:type="pct"/>
            <w:tcBorders>
              <w:left w:val="single" w:color="auto" w:sz="4" w:space="0"/>
              <w:right w:val="single" w:color="auto" w:sz="4" w:space="0"/>
            </w:tcBorders>
            <w:vAlign w:val="center"/>
          </w:tcPr>
          <w:p>
            <w:pPr>
              <w:jc w:val="center"/>
              <w:rPr>
                <w:rFonts w:hint="default" w:ascii="宋体" w:hAnsi="宋体"/>
                <w:highlight w:val="none"/>
                <w:lang w:val="en-US" w:eastAsia="zh-CN"/>
              </w:rPr>
            </w:pPr>
            <w:r>
              <w:rPr>
                <w:rFonts w:hint="eastAsia" w:ascii="宋体" w:hAnsi="宋体"/>
                <w:highlight w:val="none"/>
                <w:lang w:val="en-US" w:eastAsia="zh-CN"/>
              </w:rPr>
              <w:t>155</w:t>
            </w:r>
          </w:p>
        </w:tc>
        <w:tc>
          <w:tcPr>
            <w:tcW w:w="501" w:type="pct"/>
            <w:tcBorders>
              <w:left w:val="single" w:color="auto" w:sz="4" w:space="0"/>
              <w:right w:val="single" w:color="auto" w:sz="4" w:space="0"/>
            </w:tcBorders>
            <w:vAlign w:val="center"/>
          </w:tcPr>
          <w:p>
            <w:pPr>
              <w:jc w:val="center"/>
              <w:rPr>
                <w:rFonts w:hint="default" w:ascii="宋体" w:hAnsi="宋体"/>
                <w:highlight w:val="none"/>
                <w:lang w:val="en-US" w:eastAsia="zh-CN"/>
              </w:rPr>
            </w:pPr>
            <w:r>
              <w:rPr>
                <w:rFonts w:hint="eastAsia" w:ascii="宋体" w:hAnsi="宋体"/>
                <w:highlight w:val="none"/>
                <w:lang w:val="en-US" w:eastAsia="zh-CN"/>
              </w:rPr>
              <w:t>31%</w:t>
            </w:r>
          </w:p>
        </w:tc>
        <w:tc>
          <w:tcPr>
            <w:tcW w:w="570" w:type="pct"/>
            <w:tcBorders>
              <w:left w:val="single" w:color="auto" w:sz="4" w:space="0"/>
              <w:right w:val="single" w:color="auto" w:sz="4" w:space="0"/>
            </w:tcBorders>
            <w:vAlign w:val="center"/>
          </w:tcPr>
          <w:p>
            <w:pPr>
              <w:jc w:val="center"/>
              <w:rPr>
                <w:rFonts w:hint="default" w:ascii="宋体" w:hAnsi="宋体"/>
                <w:highlight w:val="none"/>
                <w:lang w:val="en-US" w:eastAsia="zh-CN"/>
              </w:rPr>
            </w:pPr>
            <w:r>
              <w:rPr>
                <w:rFonts w:hint="eastAsia" w:ascii="宋体" w:hAnsi="宋体"/>
                <w:highlight w:val="none"/>
                <w:lang w:val="en-US" w:eastAsia="zh-CN"/>
              </w:rPr>
              <w:t>货币</w:t>
            </w:r>
          </w:p>
        </w:tc>
        <w:tc>
          <w:tcPr>
            <w:tcW w:w="983" w:type="pct"/>
            <w:tcBorders>
              <w:left w:val="single" w:color="auto" w:sz="4" w:space="0"/>
              <w:right w:val="double" w:color="auto" w:sz="4" w:space="0"/>
            </w:tcBorders>
            <w:vAlign w:val="center"/>
          </w:tcPr>
          <w:p>
            <w:pPr>
              <w:jc w:val="center"/>
              <w:rPr>
                <w:rFonts w:hint="eastAsia" w:ascii="宋体" w:hAnsi="宋体"/>
                <w:highlight w:val="none"/>
                <w:lang w:val="en-US" w:eastAsia="zh-CN"/>
              </w:rPr>
            </w:pPr>
            <w:r>
              <w:rPr>
                <w:rFonts w:hint="eastAsia" w:ascii="宋体" w:hAnsi="宋体"/>
                <w:highlight w:val="none"/>
                <w:lang w:val="en-US" w:eastAsia="zh-CN"/>
              </w:rPr>
              <w:t>2026-12-31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gridSpan w:val="2"/>
            <w:tcBorders>
              <w:left w:val="doub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合计</w:t>
            </w:r>
          </w:p>
        </w:tc>
        <w:tc>
          <w:tcPr>
            <w:tcW w:w="1399" w:type="pct"/>
            <w:tcBorders>
              <w:left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w:t>
            </w:r>
          </w:p>
        </w:tc>
        <w:tc>
          <w:tcPr>
            <w:tcW w:w="662"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500</w:t>
            </w:r>
          </w:p>
        </w:tc>
        <w:tc>
          <w:tcPr>
            <w:tcW w:w="501" w:type="pct"/>
            <w:tcBorders>
              <w:left w:val="single" w:color="auto" w:sz="4" w:space="0"/>
              <w:right w:val="single" w:color="auto" w:sz="4" w:space="0"/>
            </w:tcBorders>
            <w:vAlign w:val="center"/>
          </w:tcPr>
          <w:p>
            <w:pPr>
              <w:jc w:val="center"/>
              <w:rPr>
                <w:rFonts w:hint="eastAsia" w:ascii="宋体" w:hAnsi="宋体" w:eastAsia="宋体"/>
                <w:highlight w:val="none"/>
                <w:lang w:val="en-US" w:eastAsia="zh-CN"/>
              </w:rPr>
            </w:pPr>
            <w:r>
              <w:rPr>
                <w:rFonts w:hint="eastAsia" w:ascii="宋体" w:hAnsi="宋体"/>
                <w:highlight w:val="none"/>
              </w:rPr>
              <w:t>100</w:t>
            </w:r>
            <w:r>
              <w:rPr>
                <w:rFonts w:hint="eastAsia" w:ascii="宋体" w:hAnsi="宋体"/>
                <w:highlight w:val="none"/>
                <w:lang w:val="en-US" w:eastAsia="zh-CN"/>
              </w:rPr>
              <w:t>%</w:t>
            </w:r>
          </w:p>
        </w:tc>
        <w:tc>
          <w:tcPr>
            <w:tcW w:w="570" w:type="pct"/>
            <w:tcBorders>
              <w:left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w:t>
            </w:r>
          </w:p>
        </w:tc>
        <w:tc>
          <w:tcPr>
            <w:tcW w:w="983" w:type="pct"/>
            <w:tcBorders>
              <w:left w:val="single" w:color="auto" w:sz="4" w:space="0"/>
              <w:right w:val="double" w:color="auto" w:sz="4" w:space="0"/>
            </w:tcBorders>
            <w:vAlign w:val="center"/>
          </w:tcPr>
          <w:p>
            <w:pPr>
              <w:jc w:val="center"/>
              <w:rPr>
                <w:rFonts w:ascii="宋体" w:hAnsi="宋体"/>
                <w:highlight w:val="none"/>
              </w:rPr>
            </w:pPr>
            <w:r>
              <w:rPr>
                <w:rFonts w:hint="eastAsia" w:ascii="宋体" w:hAnsi="宋体"/>
                <w:highlight w:val="none"/>
              </w:rPr>
              <w:t>-</w:t>
            </w:r>
          </w:p>
        </w:tc>
      </w:tr>
    </w:tbl>
    <w:p>
      <w:pPr>
        <w:jc w:val="center"/>
        <w:rPr>
          <w:rFonts w:hint="eastAsia" w:ascii="宋体" w:hAnsi="宋体" w:eastAsia="宋体"/>
          <w:highlight w:val="yellow"/>
          <w:lang w:eastAsia="zh-CN"/>
        </w:rPr>
      </w:pPr>
      <w:r>
        <w:drawing>
          <wp:inline distT="0" distB="0" distL="114300" distR="114300">
            <wp:extent cx="4554220" cy="2821305"/>
            <wp:effectExtent l="4445" t="4445" r="7620"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480"/>
        <w:rPr>
          <w:rFonts w:hint="eastAsia" w:ascii="宋体" w:hAnsi="宋体"/>
        </w:rPr>
      </w:pPr>
      <w:r>
        <w:rPr>
          <w:rFonts w:hint="eastAsia" w:ascii="宋体" w:hAnsi="宋体"/>
        </w:rPr>
        <w:t>公司两位股东均为于中国境内拥有住所的自然人，具有完全民事权利能力和完全民事行为能力，持有公司100%的股权，符合《公司法》、《中华人民共和国公司登记管理条例》等法律、行政法规和规范性文件规定的担任股东的资格。</w:t>
      </w:r>
    </w:p>
    <w:p>
      <w:pPr>
        <w:numPr>
          <w:ilvl w:val="0"/>
          <w:numId w:val="1"/>
        </w:numPr>
        <w:ind w:firstLine="480"/>
        <w:rPr>
          <w:rFonts w:ascii="宋体" w:hAnsi="宋体"/>
        </w:rPr>
      </w:pPr>
      <w:r>
        <w:rPr>
          <w:rFonts w:hint="eastAsia" w:ascii="宋体" w:hAnsi="宋体"/>
        </w:rPr>
        <w:t>公司控股股东、实际控制人情况</w:t>
      </w:r>
    </w:p>
    <w:p>
      <w:pPr>
        <w:ind w:firstLine="480" w:firstLineChars="200"/>
        <w:rPr>
          <w:rFonts w:hint="eastAsia" w:ascii="宋体" w:hAnsi="宋体"/>
          <w:kern w:val="0"/>
          <w:highlight w:val="none"/>
        </w:rPr>
      </w:pPr>
      <w:bookmarkStart w:id="26" w:name="_Toc19383"/>
      <w:bookmarkStart w:id="27" w:name="_Toc13055"/>
      <w:bookmarkStart w:id="28" w:name="_Toc27351"/>
      <w:r>
        <w:rPr>
          <w:rFonts w:hint="eastAsia" w:ascii="宋体" w:hAnsi="宋体"/>
          <w:kern w:val="0"/>
          <w:highlight w:val="none"/>
        </w:rPr>
        <w:t>根据公司的工商登记材料，公司股东向德庆持有公司69%的股权，为公司的控股股东，目前担任公司监事，对公司的日常经营管理、发展战略等重大决策事项具有决定性影响力，所以本推荐机构认定向德庆为公司的控股股东、实际控制人。</w:t>
      </w:r>
    </w:p>
    <w:p>
      <w:pPr>
        <w:ind w:firstLine="480" w:firstLineChars="200"/>
      </w:pPr>
      <w:r>
        <w:rPr>
          <w:rFonts w:hint="eastAsia" w:ascii="宋体" w:hAnsi="宋体"/>
          <w:kern w:val="0"/>
          <w:highlight w:val="none"/>
        </w:rPr>
        <w:t>向德庆，男，50岁，汉族，中华人民共和国国籍，无境外永久居留权。毕业于山东工业职业学院，专科学历，主修应用化工技术专业。1996年-2005年在淄博市化工设备厂担任技术专员，2006年-2015年在淄博金马化工厂担任公司生产部主任，2017年6月于淄博德昶泰经贸有限公司担任公司监事，截止目前，持有淄博德昶泰经贸有限公司69%的股权，为公司控股股东</w:t>
      </w:r>
      <w:r>
        <w:rPr>
          <w:rFonts w:hint="eastAsia"/>
        </w:rPr>
        <w:t>。</w:t>
      </w:r>
      <w:bookmarkEnd w:id="26"/>
      <w:bookmarkEnd w:id="27"/>
      <w:bookmarkEnd w:id="28"/>
    </w:p>
    <w:bookmarkEnd w:id="22"/>
    <w:bookmarkEnd w:id="23"/>
    <w:bookmarkEnd w:id="24"/>
    <w:bookmarkEnd w:id="25"/>
    <w:p>
      <w:pPr>
        <w:pStyle w:val="3"/>
        <w:ind w:left="480"/>
      </w:pPr>
      <w:bookmarkStart w:id="29" w:name="_Toc1910"/>
      <w:r>
        <w:rPr>
          <w:rFonts w:hint="eastAsia"/>
        </w:rPr>
        <w:t>三、公司组织结构</w:t>
      </w:r>
      <w:bookmarkEnd w:id="29"/>
    </w:p>
    <w:p>
      <w:pPr>
        <w:rPr>
          <w:rFonts w:ascii="宋体" w:hAnsi="宋体" w:cs="宋体"/>
          <w:kern w:val="0"/>
          <w:lang w:bidi="ar"/>
        </w:rPr>
      </w:pPr>
      <w:r>
        <w:drawing>
          <wp:inline distT="0" distB="0" distL="114300" distR="114300">
            <wp:extent cx="5270500" cy="2993390"/>
            <wp:effectExtent l="0" t="0" r="8255"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270500" cy="2993390"/>
                    </a:xfrm>
                    <a:prstGeom prst="rect">
                      <a:avLst/>
                    </a:prstGeom>
                    <a:noFill/>
                    <a:ln>
                      <a:noFill/>
                    </a:ln>
                  </pic:spPr>
                </pic:pic>
              </a:graphicData>
            </a:graphic>
          </wp:inline>
        </w:drawing>
      </w:r>
    </w:p>
    <w:p>
      <w:pPr>
        <w:pStyle w:val="3"/>
        <w:ind w:left="480"/>
        <w:rPr>
          <w:rFonts w:ascii="仿宋" w:hAnsi="仿宋" w:eastAsia="仿宋" w:cs="仿宋"/>
          <w:szCs w:val="32"/>
        </w:rPr>
      </w:pPr>
      <w:bookmarkStart w:id="30" w:name="_Toc16410"/>
      <w:r>
        <w:rPr>
          <w:rFonts w:hint="eastAsia"/>
        </w:rPr>
        <w:t>四、公司主营</w:t>
      </w:r>
      <w:r>
        <w:rPr>
          <w:rFonts w:hint="eastAsia"/>
          <w:lang w:val="en-US" w:eastAsia="zh-CN"/>
        </w:rPr>
        <w:t>产品及业务</w:t>
      </w:r>
      <w:r>
        <w:rPr>
          <w:rFonts w:hint="eastAsia"/>
        </w:rPr>
        <w:t>情况</w:t>
      </w:r>
      <w:bookmarkEnd w:id="30"/>
    </w:p>
    <w:p>
      <w:pPr>
        <w:pStyle w:val="4"/>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rPr>
          <w:b w:val="0"/>
          <w:bCs/>
          <w:sz w:val="24"/>
          <w:szCs w:val="24"/>
        </w:rPr>
      </w:pPr>
      <w:r>
        <w:rPr>
          <w:rFonts w:hint="eastAsia"/>
          <w:b w:val="0"/>
          <w:bCs/>
          <w:sz w:val="24"/>
          <w:szCs w:val="24"/>
        </w:rPr>
        <w:t>（一）主要产品内容</w:t>
      </w:r>
    </w:p>
    <w:p>
      <w:pPr>
        <w:ind w:firstLine="480"/>
        <w:rPr>
          <w:rFonts w:hint="eastAsia" w:ascii="宋体" w:hAnsi="宋体"/>
          <w:lang w:val="en-US" w:eastAsia="zh-CN"/>
        </w:rPr>
      </w:pPr>
      <w:r>
        <w:rPr>
          <w:rFonts w:hint="eastAsia" w:ascii="宋体" w:hAnsi="宋体"/>
          <w:lang w:val="en-US" w:eastAsia="zh-CN"/>
        </w:rPr>
        <w:t>淄博德昶泰经贸有限公司成立于2006年3月31日，位于山东省淄博市高新区中润大道129号313室，专业从事基本有机化工原料及基础化工产品贸易。</w:t>
      </w:r>
    </w:p>
    <w:p>
      <w:pPr>
        <w:ind w:firstLine="480"/>
        <w:rPr>
          <w:rFonts w:hint="eastAsia" w:ascii="宋体" w:hAnsi="宋体"/>
          <w:lang w:val="en-US" w:eastAsia="zh-CN"/>
        </w:rPr>
      </w:pPr>
      <w:r>
        <w:rPr>
          <w:rFonts w:hint="eastAsia" w:ascii="宋体" w:hAnsi="宋体"/>
          <w:lang w:val="en-US" w:eastAsia="zh-CN"/>
        </w:rPr>
        <w:t>自成立以来，公司终坚持以质量求生存，以信誉求发展的宗旨，秉承“质量第一、信誉至上”的经营宗旨，始终坚持“以客户为中心，为客户创造价值”的核心价值观，灵活运用自身丰富的市场经验、专业的产品知识，诚挚地为客户及供应商服务。</w:t>
      </w:r>
    </w:p>
    <w:p>
      <w:pPr>
        <w:ind w:firstLine="480"/>
        <w:rPr>
          <w:rFonts w:hint="eastAsia" w:ascii="宋体" w:hAnsi="宋体"/>
          <w:lang w:val="en-US" w:eastAsia="zh-CN"/>
        </w:rPr>
      </w:pPr>
      <w:r>
        <w:rPr>
          <w:rFonts w:hint="eastAsia" w:ascii="宋体" w:hAnsi="宋体"/>
          <w:lang w:val="en-US" w:eastAsia="zh-CN"/>
        </w:rPr>
        <w:t>公司主营业务明确，其经营活动符合法律法规和公司章程的规定，符合国家产业政策及环境保护政策。</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t>主营产品：</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t>1、亚氯酸钠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t>亚氯酸钠是一种高效氧化剂漂白剂。黄绿色液体，呈</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"https://baike.baidu.com/item/%E7%A2%B1%E6%80%A7"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碱性</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，是一种强氧化剂，遇酸放出CIO₂气体。一般使用产品含量一般在20%~30%不等，在</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"https://baike.baidu.com/item/%E5%B8%B8%E6%B8%A9"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常温</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下稳定，一般保质期可达12个月以上。亚氯酸钠主要用于纸浆、纸张和各种纤维如亚麻、萱麻、棉、苇类、黏胶纤维等的漂白。因其具有氧化还原电位适中的特点，用于合成纤维（如洗涤等），天然纤维（如棉、麻、桑、纸浆等植物纤维）及人造纤维（如人造丝等）的漂白时，它既能除去色素杂质，也不损伤纤维，从而可以获得较高质量的漂白成品，这是过氧化氢及其他含氯漂白剂无可比拟的。随着人们认识的不断提高，特别是作为第四代消毒剂</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"https://baike.baidu.com/item/%E4%BA%8C%E6%B0%A7%E5%8C%96%E6%B0%AF"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二氧化氯</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在医疗卫生、食品加工、水产养殖、饮水消毒、工业水处理及干燥工艺等方面的进一步运用，亚氯酸钠饮用水处理，除杀菌、灭藻、消毒性外，尚有脱臭效果。对被酚或酚化合物污染的水质，经处理后，可脱除酚和酚化合物。此外，亚氯酸钠还可用于砂糖、面粉、淀粉、</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"https://baike.baidu.com/item/%E6%B2%B9%E8%84%82"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油脂</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和蜡的</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"https://baike.baidu.com/item/%E6%BC%82%E7%99%BD%E7%B2%BE"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漂白精</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炼，以及某些金属的表面处理，阴丹士林染色的拔染剂等。</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center"/>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drawing>
          <wp:inline distT="0" distB="0" distL="114300" distR="114300">
            <wp:extent cx="4758055" cy="3288030"/>
            <wp:effectExtent l="0" t="0" r="2540" b="444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0"/>
                    <a:srcRect r="93" b="13700"/>
                    <a:stretch>
                      <a:fillRect/>
                    </a:stretch>
                  </pic:blipFill>
                  <pic:spPr>
                    <a:xfrm>
                      <a:off x="0" y="0"/>
                      <a:ext cx="4758055" cy="328803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t>2、三氯化磷</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lang w:val="en-US" w:eastAsia="zh-CN"/>
        </w:rPr>
      </w:pPr>
      <w:r>
        <w:rPr>
          <w:rFonts w:hint="eastAsia" w:ascii="宋体" w:hAnsi="宋体" w:cs="宋体"/>
          <w:b w:val="0"/>
          <w:bCs/>
          <w:sz w:val="24"/>
          <w:szCs w:val="22"/>
          <w:lang w:val="en-US" w:eastAsia="zh-CN"/>
        </w:rPr>
        <w:t>三氯化磷是一种无机物，色澄清液体，在潮湿空气中发烟，化学式为PCl3，是制造敌百虫、敌敌畏、甲胺磷、乙酰甲胺磷、三氯氧磷、亚磷酸、磷酸三苯酯和磷酸三酚酯的原料，是一种氯代试剂，能够与氧杂、氮杂、硫杂、双烯等化合物剧烈反应，也可与有机金属化合物、金属盐反应，是合成含磷金属配体的磷源</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lang w:val="en-US" w:eastAsia="zh-CN"/>
        </w:rPr>
      </w:pPr>
      <w:r>
        <w:drawing>
          <wp:inline distT="0" distB="0" distL="114300" distR="114300">
            <wp:extent cx="3619500" cy="2465705"/>
            <wp:effectExtent l="0" t="0" r="7620" b="635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a:stretch>
                      <a:fillRect/>
                    </a:stretch>
                  </pic:blipFill>
                  <pic:spPr>
                    <a:xfrm>
                      <a:off x="0" y="0"/>
                      <a:ext cx="3619500" cy="2465705"/>
                    </a:xfrm>
                    <a:prstGeom prst="rect">
                      <a:avLst/>
                    </a:prstGeom>
                    <a:noFill/>
                    <a:ln>
                      <a:noFill/>
                    </a:ln>
                  </pic:spPr>
                </pic:pic>
              </a:graphicData>
            </a:graphic>
          </wp:inline>
        </w:drawing>
      </w:r>
    </w:p>
    <w:p>
      <w:pPr>
        <w:ind w:firstLine="480" w:firstLineChars="200"/>
        <w:rPr>
          <w:rFonts w:ascii="宋体" w:hAnsi="宋体"/>
        </w:rPr>
      </w:pPr>
      <w:r>
        <w:rPr>
          <w:rFonts w:hint="eastAsia" w:ascii="宋体" w:hAnsi="宋体"/>
        </w:rPr>
        <w:t>（</w:t>
      </w:r>
      <w:r>
        <w:rPr>
          <w:rFonts w:hint="eastAsia" w:ascii="宋体" w:hAnsi="宋体"/>
          <w:lang w:val="en-US" w:eastAsia="zh-CN"/>
        </w:rPr>
        <w:t>二</w:t>
      </w:r>
      <w:r>
        <w:rPr>
          <w:rFonts w:hint="eastAsia" w:ascii="宋体" w:hAnsi="宋体"/>
        </w:rPr>
        <w:t>）主要业务模式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bookmarkStart w:id="31" w:name="_Hlk31887174"/>
      <w:r>
        <w:rPr>
          <w:rFonts w:hint="eastAsia"/>
          <w:lang w:val="en-US" w:eastAsia="zh-CN"/>
        </w:rPr>
        <w:t>1、采购模式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公司建立了一系列完善的采购管理制度，包括《采购控制程序》、《供应商评审程序》、《来料检验程序》等并予以严格执行。该等制度的有效实施确保了公司采购流程的简捷、高效、受控，出入库及存货管理严格、规范、有序。公司所有的材料，一般都选择两个及两个以上的供货商，以提高供货的安全性，并在供货质量和价格上形成竞争关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2、销售模式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公司主要采用直销、经销模式进行销售，通过代销上游基础化工原料及产品，委派销售人员直接寻找终端客户和提供技术支持。直销模式有利于公司与客户面对面的沟通，通过双方商务及技术人员的多层次沟通，了解产品使用环境和技术要求，贴近和满足客户的实际需求。这种扁平化的销售模式有利于与客户建立起稳固的合作关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3、盈利模式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公司的销售与服务模式能够最大限度的稳定公司与客户关系，公司以客户需求为导向的销售模式，提升了客户对公司提供服务的满意度以及依赖性，积攒了一批固定客户群，稳定的下游客户有助于公司减少资金链不足的风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highlight w:val="none"/>
        </w:rPr>
      </w:pPr>
      <w:r>
        <w:rPr>
          <w:rFonts w:hint="eastAsia"/>
          <w:lang w:val="en-US" w:eastAsia="zh-CN"/>
        </w:rPr>
        <w:t>目前，公司凭借良好的市场口碑、优质的服务质量，已取得一定的竞争优势。未来，公司将通过整合人才资源，挖掘行业信息，拓宽经营范围，打通上、下游</w:t>
      </w:r>
      <w:r>
        <w:rPr>
          <w:rFonts w:hint="eastAsia"/>
          <w:highlight w:val="none"/>
          <w:lang w:val="en-US" w:eastAsia="zh-CN"/>
        </w:rPr>
        <w:t>产业链</w:t>
      </w:r>
      <w:r>
        <w:rPr>
          <w:rFonts w:hint="eastAsia" w:ascii="宋体" w:hAnsi="宋体" w:cs="宋体"/>
          <w:color w:val="000000" w:themeColor="text1"/>
          <w:highlight w:val="none"/>
          <w:lang w:val="en-US" w:eastAsia="zh-CN"/>
          <w14:textFill>
            <w14:solidFill>
              <w14:schemeClr w14:val="tx1"/>
            </w14:solidFill>
          </w14:textFill>
        </w:rPr>
        <w:t>。</w:t>
      </w:r>
      <w:bookmarkEnd w:id="31"/>
    </w:p>
    <w:p>
      <w:pPr>
        <w:pStyle w:val="3"/>
        <w:ind w:left="480"/>
        <w:rPr>
          <w:highlight w:val="none"/>
        </w:rPr>
      </w:pPr>
      <w:bookmarkStart w:id="32" w:name="_Toc17843"/>
      <w:r>
        <w:rPr>
          <w:rFonts w:hint="eastAsia"/>
          <w:highlight w:val="none"/>
        </w:rPr>
        <w:t>五、公司财务报表简表</w:t>
      </w:r>
      <w:bookmarkEnd w:id="32"/>
    </w:p>
    <w:p>
      <w:pPr>
        <w:numPr>
          <w:ilvl w:val="0"/>
          <w:numId w:val="2"/>
        </w:numPr>
        <w:ind w:firstLine="480"/>
        <w:rPr>
          <w:rFonts w:ascii="宋体" w:hAnsi="宋体"/>
        </w:rPr>
      </w:pPr>
      <w:bookmarkStart w:id="33" w:name="_Toc248204895"/>
      <w:r>
        <w:rPr>
          <w:rFonts w:hint="eastAsia" w:ascii="宋体" w:hAnsi="宋体"/>
        </w:rPr>
        <w:t>资产负债表</w:t>
      </w:r>
      <w:bookmarkEnd w:id="33"/>
      <w:bookmarkStart w:id="34" w:name="_Toc248204896"/>
    </w:p>
    <w:tbl>
      <w:tblPr>
        <w:tblStyle w:val="12"/>
        <w:tblW w:w="8791" w:type="dxa"/>
        <w:tblInd w:w="99" w:type="dxa"/>
        <w:shd w:val="clear" w:color="auto" w:fill="auto"/>
        <w:tblLayout w:type="fixed"/>
        <w:tblCellMar>
          <w:top w:w="0" w:type="dxa"/>
          <w:left w:w="108" w:type="dxa"/>
          <w:bottom w:w="0" w:type="dxa"/>
          <w:right w:w="108" w:type="dxa"/>
        </w:tblCellMar>
      </w:tblPr>
      <w:tblGrid>
        <w:gridCol w:w="2643"/>
        <w:gridCol w:w="1040"/>
        <w:gridCol w:w="1679"/>
        <w:gridCol w:w="1703"/>
        <w:gridCol w:w="1726"/>
      </w:tblGrid>
      <w:tr>
        <w:tblPrEx>
          <w:shd w:val="clear" w:color="auto" w:fill="auto"/>
          <w:tblCellMar>
            <w:top w:w="0" w:type="dxa"/>
            <w:left w:w="108" w:type="dxa"/>
            <w:bottom w:w="0" w:type="dxa"/>
            <w:right w:w="108" w:type="dxa"/>
          </w:tblCellMar>
        </w:tblPrEx>
        <w:trPr>
          <w:trHeight w:val="510" w:hRule="atLeast"/>
        </w:trPr>
        <w:tc>
          <w:tcPr>
            <w:tcW w:w="8791"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资产负债表</w:t>
            </w:r>
          </w:p>
        </w:tc>
      </w:tr>
      <w:tr>
        <w:tblPrEx>
          <w:shd w:val="clear" w:color="auto" w:fill="auto"/>
          <w:tblCellMar>
            <w:top w:w="0" w:type="dxa"/>
            <w:left w:w="108" w:type="dxa"/>
            <w:bottom w:w="0" w:type="dxa"/>
            <w:right w:w="108" w:type="dxa"/>
          </w:tblCellMar>
        </w:tblPrEx>
        <w:trPr>
          <w:trHeight w:val="315" w:hRule="atLeast"/>
        </w:trPr>
        <w:tc>
          <w:tcPr>
            <w:tcW w:w="8791"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2021年6月30日</w:t>
            </w:r>
          </w:p>
        </w:tc>
      </w:tr>
      <w:tr>
        <w:tblPrEx>
          <w:shd w:val="clear" w:color="auto" w:fill="auto"/>
          <w:tblCellMar>
            <w:top w:w="0" w:type="dxa"/>
            <w:left w:w="108" w:type="dxa"/>
            <w:bottom w:w="0" w:type="dxa"/>
            <w:right w:w="108" w:type="dxa"/>
          </w:tblCellMar>
        </w:tblPrEx>
        <w:trPr>
          <w:trHeight w:val="270" w:hRule="atLeast"/>
        </w:trPr>
        <w:tc>
          <w:tcPr>
            <w:tcW w:w="2643"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编制单位：</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淄博德昶泰经贸有限公司</w:t>
            </w:r>
          </w:p>
        </w:tc>
        <w:tc>
          <w:tcPr>
            <w:tcW w:w="1040" w:type="dxa"/>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03" w:type="dxa"/>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2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单位:元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币种:人民币</w:t>
            </w: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2021年6月30日</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2020年12月31日</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2019年12月31日</w:t>
            </w:r>
          </w:p>
        </w:tc>
      </w:tr>
      <w:tr>
        <w:tblPrEx>
          <w:tblCellMar>
            <w:top w:w="0" w:type="dxa"/>
            <w:left w:w="108" w:type="dxa"/>
            <w:bottom w:w="0" w:type="dxa"/>
            <w:right w:w="108" w:type="dxa"/>
          </w:tblCellMar>
        </w:tblPrEx>
        <w:trPr>
          <w:trHeight w:val="315" w:hRule="atLeast"/>
        </w:trPr>
        <w:tc>
          <w:tcPr>
            <w:tcW w:w="264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流动资产： </w:t>
            </w:r>
          </w:p>
        </w:tc>
        <w:tc>
          <w:tcPr>
            <w:tcW w:w="104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Arial Narrow" w:hAnsi="Arial Narrow" w:eastAsia="Arial Narrow" w:cs="Arial Narrow"/>
                <w:b/>
                <w:bCs/>
                <w:i w:val="0"/>
                <w:iCs w:val="0"/>
                <w:color w:val="000000"/>
                <w:sz w:val="18"/>
                <w:szCs w:val="18"/>
                <w:u w:val="none"/>
              </w:rPr>
            </w:pPr>
          </w:p>
        </w:tc>
        <w:tc>
          <w:tcPr>
            <w:tcW w:w="1679"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b/>
                <w:bCs/>
                <w:i w:val="0"/>
                <w:iCs w:val="0"/>
                <w:color w:val="000000"/>
                <w:sz w:val="18"/>
                <w:szCs w:val="18"/>
                <w:u w:val="none"/>
              </w:rPr>
            </w:pPr>
          </w:p>
        </w:tc>
        <w:tc>
          <w:tcPr>
            <w:tcW w:w="1703" w:type="dxa"/>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26" w:type="dxa"/>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货币资金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五、（一） </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71,479.04 </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221,782.00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67,928.80 </w:t>
            </w: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交易性金融资产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以公允价值计量且其变动计入当期损益的金融资产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衍生金融资产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应收票据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应收账款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五、（二） </w:t>
            </w: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2,726,751.27 </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2,490,318.00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5,250,451.68 </w:t>
            </w: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应收款项融资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预付款项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其他应收款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其中：应收利息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应收股利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存货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持有待售资产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一年内到期的非流动资产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其他流动资产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流动资产合计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2,798,230.31 </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2,712,100.00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5,318,380.48 </w:t>
            </w: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债权投资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可供出售金融资产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其他债权投资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持有至到期投资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长期应收款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长期股权投资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其他权益工具投资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其他非流动金融资产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投资性房地产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固定资产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在建工程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生产性生物资产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油气资产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开发支出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商誉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长期待摊费用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递延所得税资产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其他非流动资产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非流动资产合计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shd w:val="clear" w:color="auto" w:fill="auto"/>
          <w:tblCellMar>
            <w:top w:w="0" w:type="dxa"/>
            <w:left w:w="108" w:type="dxa"/>
            <w:bottom w:w="0" w:type="dxa"/>
            <w:right w:w="108" w:type="dxa"/>
          </w:tblCellMar>
        </w:tblPrEx>
        <w:trPr>
          <w:trHeight w:val="31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资产总计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2,798,230.31 </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2,712,100.00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5,318,380.48 </w:t>
            </w:r>
          </w:p>
        </w:tc>
      </w:tr>
    </w:tbl>
    <w:p>
      <w:pPr>
        <w:rPr>
          <w:rFonts w:ascii="宋体" w:hAnsi="宋体"/>
        </w:rPr>
      </w:pPr>
    </w:p>
    <w:tbl>
      <w:tblPr>
        <w:tblStyle w:val="12"/>
        <w:tblW w:w="8791" w:type="dxa"/>
        <w:tblInd w:w="99" w:type="dxa"/>
        <w:shd w:val="clear" w:color="auto" w:fill="auto"/>
        <w:tblLayout w:type="fixed"/>
        <w:tblCellMar>
          <w:top w:w="0" w:type="dxa"/>
          <w:left w:w="108" w:type="dxa"/>
          <w:bottom w:w="0" w:type="dxa"/>
          <w:right w:w="108" w:type="dxa"/>
        </w:tblCellMar>
      </w:tblPr>
      <w:tblGrid>
        <w:gridCol w:w="2474"/>
        <w:gridCol w:w="1209"/>
        <w:gridCol w:w="1680"/>
        <w:gridCol w:w="1702"/>
        <w:gridCol w:w="1726"/>
      </w:tblGrid>
      <w:tr>
        <w:tblPrEx>
          <w:shd w:val="clear" w:color="auto" w:fill="auto"/>
          <w:tblCellMar>
            <w:top w:w="0" w:type="dxa"/>
            <w:left w:w="108" w:type="dxa"/>
            <w:bottom w:w="0" w:type="dxa"/>
            <w:right w:w="108" w:type="dxa"/>
          </w:tblCellMar>
        </w:tblPrEx>
        <w:trPr>
          <w:trHeight w:val="405" w:hRule="atLeast"/>
        </w:trPr>
        <w:tc>
          <w:tcPr>
            <w:tcW w:w="8791"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资产负债表（续）</w:t>
            </w:r>
          </w:p>
        </w:tc>
      </w:tr>
      <w:tr>
        <w:tblPrEx>
          <w:shd w:val="clear" w:color="auto" w:fill="auto"/>
          <w:tblCellMar>
            <w:top w:w="0" w:type="dxa"/>
            <w:left w:w="108" w:type="dxa"/>
            <w:bottom w:w="0" w:type="dxa"/>
            <w:right w:w="108" w:type="dxa"/>
          </w:tblCellMar>
        </w:tblPrEx>
        <w:trPr>
          <w:trHeight w:val="315" w:hRule="atLeast"/>
        </w:trPr>
        <w:tc>
          <w:tcPr>
            <w:tcW w:w="8791"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2021年6月30日</w:t>
            </w:r>
          </w:p>
        </w:tc>
      </w:tr>
      <w:tr>
        <w:tblPrEx>
          <w:shd w:val="clear" w:color="auto" w:fill="auto"/>
          <w:tblCellMar>
            <w:top w:w="0" w:type="dxa"/>
            <w:left w:w="108" w:type="dxa"/>
            <w:bottom w:w="0" w:type="dxa"/>
            <w:right w:w="108" w:type="dxa"/>
          </w:tblCellMar>
        </w:tblPrEx>
        <w:trPr>
          <w:trHeight w:val="270" w:hRule="atLeast"/>
        </w:trPr>
        <w:tc>
          <w:tcPr>
            <w:tcW w:w="2474"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编制单位：</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淄博德昶泰经贸有限公司</w:t>
            </w:r>
          </w:p>
        </w:tc>
        <w:tc>
          <w:tcPr>
            <w:tcW w:w="1209"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680"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702" w:type="dxa"/>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2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单位:元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币种:人民币</w:t>
            </w: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2021年6月30日</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2020年12月31日</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2019年12月31日</w:t>
            </w:r>
          </w:p>
        </w:tc>
      </w:tr>
      <w:tr>
        <w:tblPrEx>
          <w:tblCellMar>
            <w:top w:w="0" w:type="dxa"/>
            <w:left w:w="108" w:type="dxa"/>
            <w:bottom w:w="0" w:type="dxa"/>
            <w:right w:w="108" w:type="dxa"/>
          </w:tblCellMar>
        </w:tblPrEx>
        <w:trPr>
          <w:trHeight w:val="315" w:hRule="atLeast"/>
        </w:trPr>
        <w:tc>
          <w:tcPr>
            <w:tcW w:w="24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Arial Narrow" w:hAnsi="Arial Narrow" w:eastAsia="Arial Narrow" w:cs="Arial Narrow"/>
                <w:b/>
                <w:bCs/>
                <w:i w:val="0"/>
                <w:iCs w:val="0"/>
                <w:color w:val="000000"/>
                <w:sz w:val="18"/>
                <w:szCs w:val="18"/>
                <w:u w:val="none"/>
              </w:rPr>
            </w:pPr>
          </w:p>
        </w:tc>
        <w:tc>
          <w:tcPr>
            <w:tcW w:w="1702" w:type="dxa"/>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26" w:type="dxa"/>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短期借款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交易性金融负债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以公允价值计量且其变动计入当期损益的金融负债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衍生金融负债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应付票据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应付账款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五、（三） </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1,750,974.21 </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1,775,845.03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4,544,462.88 </w:t>
            </w: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预收款项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应付职工薪酬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应交税费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其他应付款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其中：应付利息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应付股利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持有待售负债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一年内到期的非流动负债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其他流动负债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流动负债合计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1,750,974.21 </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1,775,845.03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4,544,462.88 </w:t>
            </w: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长期借款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应付债券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其中：优先股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永续债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长期应付款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长期应付职工薪酬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预计负债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递延收益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递延所得税负债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其他非流动负债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非流动负债合计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负债合计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1,750,974.21 </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1,775,845.03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4,544,462.88 </w:t>
            </w: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所有者权益（或股东权益）：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实收资本（或股本）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五、（四） </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500,000.00 </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500,000.00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500,000.00 </w:t>
            </w: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其他权益工具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其中：优先股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永续债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资本公积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减：库存股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其他综合收益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专项储备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盈余公积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未分配利润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五、（五） </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547,256.10 </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436,254.97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273,917.60 </w:t>
            </w:r>
          </w:p>
        </w:tc>
      </w:tr>
      <w:tr>
        <w:tblPrEx>
          <w:shd w:val="clear" w:color="auto" w:fill="auto"/>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所有者权益（或股东权益）合计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1,047,256.10 </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936,254.97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773,917.60 </w:t>
            </w:r>
          </w:p>
        </w:tc>
      </w:tr>
      <w:tr>
        <w:tblPrEx>
          <w:tblCellMar>
            <w:top w:w="0" w:type="dxa"/>
            <w:left w:w="108" w:type="dxa"/>
            <w:bottom w:w="0" w:type="dxa"/>
            <w:right w:w="108" w:type="dxa"/>
          </w:tblCellMar>
        </w:tblPrEx>
        <w:trPr>
          <w:trHeight w:val="315" w:hRule="atLeast"/>
        </w:trPr>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负债和所有者权益（或股东权益）总计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2,798,230.31 </w:t>
            </w:r>
          </w:p>
        </w:tc>
        <w:tc>
          <w:tcPr>
            <w:tcW w:w="1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2,712,100.00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5,318,380.48 </w:t>
            </w:r>
          </w:p>
        </w:tc>
      </w:tr>
    </w:tbl>
    <w:p>
      <w:pPr>
        <w:rPr>
          <w:rFonts w:ascii="宋体" w:hAnsi="宋体"/>
        </w:rPr>
      </w:pPr>
    </w:p>
    <w:p>
      <w:pPr>
        <w:numPr>
          <w:ilvl w:val="0"/>
          <w:numId w:val="2"/>
        </w:numPr>
        <w:ind w:firstLine="480"/>
        <w:rPr>
          <w:rFonts w:ascii="宋体" w:hAnsi="宋体"/>
        </w:rPr>
      </w:pPr>
      <w:r>
        <w:rPr>
          <w:rFonts w:hint="eastAsia" w:ascii="宋体" w:hAnsi="宋体"/>
        </w:rPr>
        <w:t>利润表</w:t>
      </w:r>
      <w:bookmarkEnd w:id="34"/>
      <w:bookmarkStart w:id="35" w:name="_Hlk37328834"/>
    </w:p>
    <w:tbl>
      <w:tblPr>
        <w:tblStyle w:val="12"/>
        <w:tblW w:w="8597" w:type="dxa"/>
        <w:tblInd w:w="99" w:type="dxa"/>
        <w:shd w:val="clear" w:color="auto" w:fill="auto"/>
        <w:tblLayout w:type="fixed"/>
        <w:tblCellMar>
          <w:top w:w="0" w:type="dxa"/>
          <w:left w:w="108" w:type="dxa"/>
          <w:bottom w:w="0" w:type="dxa"/>
          <w:right w:w="108" w:type="dxa"/>
        </w:tblCellMar>
      </w:tblPr>
      <w:tblGrid>
        <w:gridCol w:w="2765"/>
        <w:gridCol w:w="1192"/>
        <w:gridCol w:w="1643"/>
        <w:gridCol w:w="1465"/>
        <w:gridCol w:w="1532"/>
      </w:tblGrid>
      <w:tr>
        <w:tblPrEx>
          <w:tblCellMar>
            <w:top w:w="0" w:type="dxa"/>
            <w:left w:w="108" w:type="dxa"/>
            <w:bottom w:w="0" w:type="dxa"/>
            <w:right w:w="108" w:type="dxa"/>
          </w:tblCellMar>
        </w:tblPrEx>
        <w:trPr>
          <w:trHeight w:val="510" w:hRule="atLeast"/>
        </w:trPr>
        <w:tc>
          <w:tcPr>
            <w:tcW w:w="859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利润表</w:t>
            </w:r>
          </w:p>
        </w:tc>
      </w:tr>
      <w:tr>
        <w:tblPrEx>
          <w:tblCellMar>
            <w:top w:w="0" w:type="dxa"/>
            <w:left w:w="108" w:type="dxa"/>
            <w:bottom w:w="0" w:type="dxa"/>
            <w:right w:w="108" w:type="dxa"/>
          </w:tblCellMar>
        </w:tblPrEx>
        <w:trPr>
          <w:trHeight w:val="315" w:hRule="atLeast"/>
        </w:trPr>
        <w:tc>
          <w:tcPr>
            <w:tcW w:w="8597"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2021年1-6月</w:t>
            </w:r>
          </w:p>
        </w:tc>
      </w:tr>
      <w:tr>
        <w:tblPrEx>
          <w:shd w:val="clear" w:color="auto" w:fill="auto"/>
          <w:tblCellMar>
            <w:top w:w="0" w:type="dxa"/>
            <w:left w:w="108" w:type="dxa"/>
            <w:bottom w:w="0" w:type="dxa"/>
            <w:right w:w="108" w:type="dxa"/>
          </w:tblCellMar>
        </w:tblPrEx>
        <w:trPr>
          <w:trHeight w:val="270" w:hRule="atLeast"/>
        </w:trPr>
        <w:tc>
          <w:tcPr>
            <w:tcW w:w="2765"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编制单位：</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淄博德昶泰经贸有限公司</w:t>
            </w:r>
          </w:p>
        </w:tc>
        <w:tc>
          <w:tcPr>
            <w:tcW w:w="1192"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64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65" w:type="dxa"/>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3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单位:元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币种:人民币</w:t>
            </w: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2021年1-6月</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2020年度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2019年度 </w:t>
            </w: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一、营业收入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五、（六）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21,036,406.93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27,432,577.41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39,849,350.01 </w:t>
            </w: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减：营业成本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五、（六）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20,477,683.24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26,370,910.72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38,077,310.87 </w:t>
            </w: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五、（七）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23,274.94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2,055.31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84,315.03 </w:t>
            </w: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销售费用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五、（八）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245,332.00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506,608.32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774,807.81 </w:t>
            </w: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管理费用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五、（九）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172,941.48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381,454.12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738,385.25 </w:t>
            </w: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研发费用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财务费用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331.98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667.50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613.45 </w:t>
            </w: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其中：利息费用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利息收入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加：其他收益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投资收益（损失以“－”号填列）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其中：对联营企业和合营企业的投资收益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以摊余成本计量的金融资产终止确认收益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净敞口套期收益（损失以“－”号填列）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公允价值变动收益（损失以“－”号填列）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信用减值损失（损失以“－”号填列）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资产减值损失（损失以“－”号填列）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资产处置收益（损失以“－”号填列）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二、营业利润（亏损以“－”号填列）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116,843.29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170,881.44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173,917.60 </w:t>
            </w: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加：营业外收入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减：营业外支出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三、利润总额（亏损总额以“－”号填列）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116,843.29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170,881.44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173,917.60 </w:t>
            </w: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减：所得税费用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五、（十一） </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5,842.16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8,544.07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8,695.88 </w:t>
            </w: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四、净利润（净亏损以“－”号填列）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111,001.13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162,337.37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165,221.72 </w:t>
            </w: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（一）持续经营净利润（净亏损以“－”号填列）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111,001.13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162,337.37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165,221.72 </w:t>
            </w: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（二）终止经营净利润（净亏损以“－”号填列）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五、其他综合收益的税后净额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（一）不能重分类进损益的其他综合收益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1.重新计量设定受益计划变动额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2.权益法下不能转损益的其他综合收益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3.其他权益工具投资公允价值变动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4.企业自身信用风险公允价值变动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（二）将重分类进损益的其他综合收益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1.权益法下可转损益的其他综合收益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2.其他债权投资公允价值变动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3.可供出售金融资产公允价值变动损益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4.金融资产重分类计入其他综合收益的金额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5.持有至到期投资重分类为可供出售金融资产损益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6.其他债权投资信用减值准备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7.现金流量套期储备（现金流量套期损益的有效部分）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8.外币财务报表折算差额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9.其他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15" w:hRule="atLeast"/>
        </w:trPr>
        <w:tc>
          <w:tcPr>
            <w:tcW w:w="2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六、综合收益总额  </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111,001.13 </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162,337.37 </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165,221.72 </w:t>
            </w:r>
          </w:p>
        </w:tc>
      </w:tr>
    </w:tbl>
    <w:p>
      <w:pPr>
        <w:rPr>
          <w:rFonts w:ascii="宋体" w:hAnsi="宋体"/>
        </w:rPr>
      </w:pPr>
    </w:p>
    <w:bookmarkEnd w:id="35"/>
    <w:p>
      <w:pPr>
        <w:numPr>
          <w:ilvl w:val="0"/>
          <w:numId w:val="2"/>
        </w:numPr>
        <w:ind w:firstLine="480"/>
        <w:rPr>
          <w:rFonts w:ascii="宋体" w:hAnsi="宋体"/>
        </w:rPr>
      </w:pPr>
      <w:bookmarkStart w:id="36" w:name="_Toc248204897"/>
      <w:r>
        <w:rPr>
          <w:rFonts w:hint="eastAsia" w:ascii="宋体" w:hAnsi="宋体"/>
        </w:rPr>
        <w:t>现金流量表</w:t>
      </w:r>
      <w:bookmarkEnd w:id="36"/>
    </w:p>
    <w:tbl>
      <w:tblPr>
        <w:tblStyle w:val="12"/>
        <w:tblW w:w="8823" w:type="dxa"/>
        <w:tblInd w:w="-81" w:type="dxa"/>
        <w:shd w:val="clear" w:color="auto" w:fill="auto"/>
        <w:tblLayout w:type="fixed"/>
        <w:tblCellMar>
          <w:top w:w="0" w:type="dxa"/>
          <w:left w:w="108" w:type="dxa"/>
          <w:bottom w:w="0" w:type="dxa"/>
          <w:right w:w="108" w:type="dxa"/>
        </w:tblCellMar>
      </w:tblPr>
      <w:tblGrid>
        <w:gridCol w:w="2783"/>
        <w:gridCol w:w="1080"/>
        <w:gridCol w:w="1721"/>
        <w:gridCol w:w="1501"/>
        <w:gridCol w:w="1738"/>
      </w:tblGrid>
      <w:tr>
        <w:tblPrEx>
          <w:tblCellMar>
            <w:top w:w="0" w:type="dxa"/>
            <w:left w:w="108" w:type="dxa"/>
            <w:bottom w:w="0" w:type="dxa"/>
            <w:right w:w="108" w:type="dxa"/>
          </w:tblCellMar>
        </w:tblPrEx>
        <w:trPr>
          <w:trHeight w:val="510" w:hRule="atLeast"/>
        </w:trPr>
        <w:tc>
          <w:tcPr>
            <w:tcW w:w="882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现金流量表</w:t>
            </w:r>
          </w:p>
        </w:tc>
      </w:tr>
      <w:tr>
        <w:tblPrEx>
          <w:shd w:val="clear" w:color="auto" w:fill="auto"/>
          <w:tblCellMar>
            <w:top w:w="0" w:type="dxa"/>
            <w:left w:w="108" w:type="dxa"/>
            <w:bottom w:w="0" w:type="dxa"/>
            <w:right w:w="108" w:type="dxa"/>
          </w:tblCellMar>
        </w:tblPrEx>
        <w:trPr>
          <w:trHeight w:val="315" w:hRule="atLeast"/>
        </w:trPr>
        <w:tc>
          <w:tcPr>
            <w:tcW w:w="882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2021年1-6月</w:t>
            </w:r>
          </w:p>
        </w:tc>
      </w:tr>
      <w:tr>
        <w:tblPrEx>
          <w:shd w:val="clear" w:color="auto" w:fill="auto"/>
          <w:tblCellMar>
            <w:top w:w="0" w:type="dxa"/>
            <w:left w:w="108" w:type="dxa"/>
            <w:bottom w:w="0" w:type="dxa"/>
            <w:right w:w="108" w:type="dxa"/>
          </w:tblCellMar>
        </w:tblPrEx>
        <w:trPr>
          <w:trHeight w:val="270" w:hRule="atLeast"/>
        </w:trPr>
        <w:tc>
          <w:tcPr>
            <w:tcW w:w="2783"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编制单位：</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淄博德昶泰经贸有限公司</w:t>
            </w:r>
          </w:p>
        </w:tc>
        <w:tc>
          <w:tcPr>
            <w:tcW w:w="1080"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72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50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738"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单位:元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币种:人民币</w:t>
            </w: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2021年1-6月</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2020年度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2019年度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一、经营活动产生的现金流量：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Arial Narrow" w:hAnsi="Arial Narrow" w:eastAsia="Arial Narrow" w:cs="Arial Narrow"/>
                <w:b/>
                <w:bCs/>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销售商品、提供劳务收到的现金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23,534,706.56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33,758,946.15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46,014,965.40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收到的税费返还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收到其他与经营活动有关的现金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1,372,893.45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2,063,878.94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3,812,982.73 </w:t>
            </w: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经营活动现金流入小计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24,907,600.01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35,822,825.09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49,827,948.13 </w:t>
            </w: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购买商品、接受劳务支付的现金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23,232,452.70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32,784,707.57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44,384,470.02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支付给职工以及为职工支付的现金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300,490.20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661,015.20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719,660.40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支付的各项税费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1,470,960.99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2,131,827.53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4,022,316.09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支付其他与经营活动有关的现金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53,999.08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91,421.59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638,480.71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经营活动现金流出小计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25,057,902.97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35,668,971.89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49,764,927.22 </w:t>
            </w: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经营活动产生的现金流量净额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-150,302.96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153,853.20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63,020.91 </w:t>
            </w: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二、投资活动产生的现金流量：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收回投资收到的现金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取得投资收益收到的现金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处置固定资产、无形资产和其他长期资产收回的现金净额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处置子公司及其他营业单位收到的现金净额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收到其他与投资活动有关的现金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投资活动现金流入小计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购建固定资产、无形资产和其他长期资产支付的现金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投资支付的现金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取得子公司及其他营业单位支付的现金净额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支付其他与投资活动有关的现金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投资活动现金流出小计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投资活动产生的现金流量净额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三、筹资活动产生的现金流量：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吸收投资收到的现金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取得借款收到的现金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收到其他与筹资活动有关的现金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筹资活动现金流入小计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偿还债务支付的现金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分配股利、利润或偿付利息支付的现金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支付其他与筹资活动有关的现金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筹资活动现金流出小计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筹资活动产生的现金流量净额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四、汇率变动对现金及现金等价物的影响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五、现金及现金等价物净增加额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五、（十三） </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-150,302.96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153,853.20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63,020.91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加：期初现金及现金等价物余额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五、（十三） </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221,782.00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67,928.80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4,907.89 </w:t>
            </w:r>
          </w:p>
        </w:tc>
      </w:tr>
      <w:tr>
        <w:tblPrEx>
          <w:shd w:val="clear" w:color="auto" w:fill="auto"/>
          <w:tblCellMar>
            <w:top w:w="0" w:type="dxa"/>
            <w:left w:w="108" w:type="dxa"/>
            <w:bottom w:w="0" w:type="dxa"/>
            <w:right w:w="108" w:type="dxa"/>
          </w:tblCellMar>
        </w:tblPrEx>
        <w:trPr>
          <w:trHeight w:val="300" w:hRule="atLeast"/>
        </w:trPr>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六、期末现金及现金等价物余额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五、（十三） </w:t>
            </w:r>
          </w:p>
        </w:tc>
        <w:tc>
          <w:tcPr>
            <w:tcW w:w="1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71,479.04 </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221,782.00 </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67,928.80 </w:t>
            </w:r>
          </w:p>
        </w:tc>
      </w:tr>
    </w:tbl>
    <w:p>
      <w:pPr>
        <w:ind w:firstLine="480" w:firstLineChars="200"/>
        <w:rPr>
          <w:rFonts w:hint="eastAsia"/>
        </w:rPr>
      </w:pPr>
      <w:r>
        <w:rPr>
          <w:rFonts w:hint="eastAsia" w:ascii="宋体" w:hAnsi="宋体"/>
        </w:rPr>
        <w:t>公司</w:t>
      </w:r>
      <w:r>
        <w:rPr>
          <w:rFonts w:ascii="宋体" w:hAnsi="宋体"/>
        </w:rPr>
        <w:t>报告期财务会计信息</w:t>
      </w:r>
      <w:r>
        <w:rPr>
          <w:rFonts w:hint="eastAsia" w:ascii="宋体" w:hAnsi="宋体"/>
        </w:rPr>
        <w:t>无虚假记载</w:t>
      </w:r>
      <w:r>
        <w:rPr>
          <w:rFonts w:ascii="宋体" w:hAnsi="宋体"/>
        </w:rPr>
        <w:t>。</w:t>
      </w:r>
    </w:p>
    <w:p>
      <w:pPr>
        <w:pStyle w:val="3"/>
        <w:ind w:left="480"/>
      </w:pPr>
      <w:bookmarkStart w:id="37" w:name="_Toc9928"/>
      <w:r>
        <w:rPr>
          <w:rFonts w:hint="eastAsia"/>
        </w:rPr>
        <w:t>六、公司经营目标及计划</w:t>
      </w:r>
      <w:bookmarkEnd w:id="37"/>
    </w:p>
    <w:p>
      <w:pPr>
        <w:ind w:firstLine="480" w:firstLineChars="200"/>
        <w:rPr>
          <w:rFonts w:hint="eastAsia"/>
        </w:rPr>
      </w:pPr>
      <w:bookmarkStart w:id="38" w:name="_Toc346092744"/>
      <w:bookmarkStart w:id="39" w:name="_Toc346286158"/>
      <w:bookmarkStart w:id="40" w:name="_Toc347755025"/>
      <w:bookmarkStart w:id="41" w:name="_Toc347823210"/>
      <w:bookmarkStart w:id="42" w:name="_Toc342567520"/>
      <w:bookmarkStart w:id="43" w:name="_Toc317756608"/>
      <w:bookmarkStart w:id="44" w:name="_Hlk31887440"/>
      <w:r>
        <w:rPr>
          <w:rFonts w:hint="eastAsia"/>
        </w:rPr>
        <w:t>（一）经营目标</w:t>
      </w:r>
    </w:p>
    <w:p>
      <w:pPr>
        <w:ind w:firstLine="480" w:firstLineChars="200"/>
        <w:rPr>
          <w:rFonts w:hint="eastAsia"/>
        </w:rPr>
      </w:pPr>
      <w:r>
        <w:rPr>
          <w:rFonts w:hint="eastAsia" w:ascii="宋体" w:hAnsi="宋体"/>
        </w:rPr>
        <w:t>公司坚持</w:t>
      </w:r>
      <w:r>
        <w:rPr>
          <w:rFonts w:hint="eastAsia" w:ascii="宋体" w:hAnsi="宋体"/>
          <w:lang w:val="en-US" w:eastAsia="zh-CN"/>
        </w:rPr>
        <w:t>基础化工产品</w:t>
      </w:r>
      <w:r>
        <w:rPr>
          <w:rFonts w:hint="eastAsia" w:ascii="宋体" w:hAnsi="宋体"/>
        </w:rPr>
        <w:t>的产品定位，公司将继续发扬“诚信、进步、团结、拼搏”的企业精神，秉承“以信为本，以诚待人，以稳求实，优质服务”的经营理念，维持与各界朋友及客户的精诚合作，不断加强技术精进，</w:t>
      </w:r>
      <w:r>
        <w:rPr>
          <w:rFonts w:hint="eastAsia" w:ascii="宋体" w:hAnsi="宋体"/>
          <w:lang w:val="en-US" w:eastAsia="zh-CN"/>
        </w:rPr>
        <w:t>争取</w:t>
      </w:r>
      <w:r>
        <w:rPr>
          <w:rFonts w:hint="eastAsia" w:ascii="宋体" w:hAnsi="宋体"/>
        </w:rPr>
        <w:t>打开全国市场</w:t>
      </w:r>
      <w:r>
        <w:rPr>
          <w:rFonts w:hint="eastAsia"/>
        </w:rPr>
        <w:t>。</w:t>
      </w:r>
    </w:p>
    <w:p>
      <w:pPr>
        <w:ind w:firstLine="480" w:firstLineChars="200"/>
        <w:rPr>
          <w:rFonts w:hint="eastAsia"/>
        </w:rPr>
      </w:pPr>
      <w:r>
        <w:rPr>
          <w:rFonts w:hint="eastAsia"/>
        </w:rPr>
        <w:t>（二）具体发展业务计划</w:t>
      </w:r>
    </w:p>
    <w:p>
      <w:pPr>
        <w:pStyle w:val="6"/>
        <w:bidi w:val="0"/>
        <w:rPr>
          <w:rFonts w:hint="eastAsia"/>
        </w:rPr>
      </w:pPr>
      <w:bookmarkStart w:id="45" w:name="_Toc2323"/>
      <w:r>
        <w:rPr>
          <w:rFonts w:hint="eastAsia"/>
        </w:rPr>
        <w:t>1、</w:t>
      </w:r>
      <w:r>
        <w:rPr>
          <w:rFonts w:hint="eastAsia"/>
          <w:lang w:val="en-US" w:eastAsia="zh-CN"/>
        </w:rPr>
        <w:t>开拓市场渠道，稳固客户资源</w:t>
      </w:r>
      <w:r>
        <w:rPr>
          <w:rFonts w:hint="eastAsia"/>
        </w:rPr>
        <w:t xml:space="preserve"> </w:t>
      </w:r>
    </w:p>
    <w:p>
      <w:pPr>
        <w:ind w:firstLine="480" w:firstLineChars="200"/>
      </w:pPr>
      <w:r>
        <w:rPr>
          <w:rFonts w:hint="eastAsia"/>
        </w:rPr>
        <w:t>市场和客户开发是实现公司发展目标的首要工作，主要从以下几个方面进行：</w:t>
      </w:r>
      <w:r>
        <w:rPr>
          <w:rFonts w:hint="eastAsia"/>
          <w:lang w:val="en-US" w:eastAsia="zh-CN"/>
        </w:rPr>
        <w:t>一</w:t>
      </w:r>
      <w:r>
        <w:rPr>
          <w:rFonts w:hint="eastAsia"/>
        </w:rPr>
        <w:t>是市场开发及服务团队建设；</w:t>
      </w:r>
      <w:r>
        <w:rPr>
          <w:rFonts w:hint="eastAsia"/>
          <w:lang w:val="en-US" w:eastAsia="zh-CN"/>
        </w:rPr>
        <w:t>二</w:t>
      </w:r>
      <w:r>
        <w:rPr>
          <w:rFonts w:hint="eastAsia"/>
        </w:rPr>
        <w:t>是网络营销建设，将加强网络营销，通过“互联网+”和“大数据”思维塑造和优化商业模式，这种商业模式可以提高公司的竞争力和影响力，为公司将来进入的</w:t>
      </w:r>
      <w:r>
        <w:rPr>
          <w:rFonts w:hint="eastAsia"/>
          <w:lang w:val="en-US" w:eastAsia="zh-CN"/>
        </w:rPr>
        <w:t>更大的</w:t>
      </w:r>
      <w:r>
        <w:rPr>
          <w:rFonts w:hint="eastAsia"/>
        </w:rPr>
        <w:t>市场创造机会和平台</w:t>
      </w:r>
      <w:r>
        <w:t xml:space="preserve">。 </w:t>
      </w:r>
    </w:p>
    <w:p>
      <w:pPr>
        <w:pStyle w:val="6"/>
        <w:bidi w:val="0"/>
        <w:rPr>
          <w:rFonts w:hint="eastAsia"/>
        </w:rPr>
      </w:pPr>
      <w:r>
        <w:rPr>
          <w:rFonts w:hint="eastAsia"/>
        </w:rPr>
        <w:t>2、推行合同成本跟踪制</w:t>
      </w:r>
    </w:p>
    <w:p>
      <w:pPr>
        <w:ind w:firstLine="480" w:firstLineChars="200"/>
      </w:pPr>
      <w:r>
        <w:t>坚持将提高企业经济运行质量作为加强管理的立足点和归宿点。开展调查研究，总结经验教训，对直接影响经济效益或涉及全局的管理难题，组织力量重点进行破解。加强经济合同管理调整并明确职责，形成从授权、签约、履行、变更、结算、付款到纠纷处置完整的合同管理办法。</w:t>
      </w:r>
    </w:p>
    <w:p>
      <w:pPr>
        <w:pStyle w:val="6"/>
        <w:bidi w:val="0"/>
        <w:rPr>
          <w:rFonts w:hint="eastAsia"/>
          <w:lang w:val="en-US" w:eastAsia="zh-CN"/>
        </w:rPr>
      </w:pPr>
      <w:r>
        <w:rPr>
          <w:rFonts w:hint="eastAsia"/>
          <w:lang w:val="en-US" w:eastAsia="zh-CN"/>
        </w:rPr>
        <w:t>3、优化人才结构</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培养和引进了各类管理人才和专业技术人才，涵盖多个专业，建立了一支由素质能力强的高层管理人员、执行力强的中层管理人员、创新能力强的设计人员、技术精和业务专的项目管理和工程技术人员组成的稳定团队。</w:t>
      </w:r>
    </w:p>
    <w:p>
      <w:pPr>
        <w:pStyle w:val="6"/>
        <w:bidi w:val="0"/>
        <w:rPr>
          <w:rFonts w:hint="eastAsia"/>
          <w:lang w:val="en-US" w:eastAsia="zh-CN"/>
        </w:rPr>
      </w:pPr>
      <w:r>
        <w:rPr>
          <w:rFonts w:hint="eastAsia"/>
          <w:lang w:val="en-US" w:eastAsia="zh-CN"/>
        </w:rPr>
        <w:t>4、改变营销理念</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实施大客户战略，对客户质量和销售潜力进行有效评估，集中优势资源帮助客户优化战略、优化战术、提升客户的经营水平和运营效率，</w:t>
      </w:r>
      <w:r>
        <w:rPr>
          <w:rFonts w:hint="eastAsia"/>
          <w:color w:val="000000" w:themeColor="text1"/>
          <w:lang w:val="en-US" w:eastAsia="zh-CN"/>
          <w14:textFill>
            <w14:solidFill>
              <w14:schemeClr w14:val="tx1"/>
            </w14:solidFill>
          </w14:textFill>
        </w:rPr>
        <w:t>与客户建立长期、良好的合作关系。</w:t>
      </w:r>
    </w:p>
    <w:p>
      <w:pPr>
        <w:ind w:firstLine="480" w:firstLineChars="200"/>
      </w:pPr>
      <w:r>
        <w:rPr>
          <w:rFonts w:hint="eastAsia"/>
        </w:rPr>
        <w:t>（三）公司为实现未来发展目标将采取的措施</w:t>
      </w:r>
      <w:bookmarkEnd w:id="38"/>
      <w:bookmarkEnd w:id="39"/>
      <w:bookmarkEnd w:id="40"/>
      <w:bookmarkEnd w:id="41"/>
      <w:bookmarkEnd w:id="42"/>
      <w:bookmarkEnd w:id="43"/>
      <w:bookmarkEnd w:id="45"/>
    </w:p>
    <w:p>
      <w:pPr>
        <w:pStyle w:val="6"/>
        <w:bidi w:val="0"/>
        <w:rPr>
          <w:rFonts w:hint="eastAsia"/>
          <w:lang w:val="en-US" w:eastAsia="zh-CN"/>
        </w:rPr>
      </w:pPr>
      <w:r>
        <w:rPr>
          <w:rFonts w:hint="eastAsia"/>
          <w:lang w:val="en-US" w:eastAsia="zh-CN"/>
        </w:rPr>
        <w:t>1、业务模式方面</w:t>
      </w:r>
    </w:p>
    <w:p>
      <w:pPr>
        <w:ind w:firstLine="480" w:firstLineChars="200"/>
      </w:pPr>
      <w:r>
        <w:rPr>
          <w:rFonts w:hint="eastAsia"/>
        </w:rPr>
        <w:t>随着社会经济的发展和市场的逐渐成熟，企业对</w:t>
      </w:r>
      <w:r>
        <w:rPr>
          <w:rFonts w:hint="eastAsia"/>
          <w:lang w:val="en-US" w:eastAsia="zh-CN"/>
        </w:rPr>
        <w:t>项目的承接</w:t>
      </w:r>
      <w:r>
        <w:rPr>
          <w:rFonts w:hint="eastAsia"/>
        </w:rPr>
        <w:t>模式的选择已经转变为多元化的方式，企业越来越重视</w:t>
      </w:r>
      <w:r>
        <w:rPr>
          <w:rFonts w:hint="eastAsia"/>
          <w:lang w:val="en-US" w:eastAsia="zh-CN"/>
        </w:rPr>
        <w:t>承接</w:t>
      </w:r>
      <w:r>
        <w:rPr>
          <w:rFonts w:hint="eastAsia"/>
        </w:rPr>
        <w:t>模式的效率、成本与风险控制。通过以上对各种</w:t>
      </w:r>
      <w:r>
        <w:rPr>
          <w:rFonts w:hint="eastAsia"/>
          <w:lang w:val="en-US" w:eastAsia="zh-CN"/>
        </w:rPr>
        <w:t>承接</w:t>
      </w:r>
      <w:r>
        <w:rPr>
          <w:rFonts w:hint="eastAsia"/>
        </w:rPr>
        <w:t>模式的优劣分析和比较，不同的销售模式具有不同的特点和适用性，不同的</w:t>
      </w:r>
      <w:r>
        <w:rPr>
          <w:rFonts w:hint="eastAsia"/>
          <w:lang w:val="en-US" w:eastAsia="zh-CN"/>
        </w:rPr>
        <w:t>合作</w:t>
      </w:r>
      <w:r>
        <w:rPr>
          <w:rFonts w:hint="eastAsia"/>
        </w:rPr>
        <w:t>主体在不同的发展阶段针对不同市场情况，可以采取多种</w:t>
      </w:r>
      <w:r>
        <w:rPr>
          <w:rFonts w:hint="eastAsia"/>
          <w:lang w:val="en-US" w:eastAsia="zh-CN"/>
        </w:rPr>
        <w:t>承接</w:t>
      </w:r>
      <w:r>
        <w:rPr>
          <w:rFonts w:hint="eastAsia"/>
        </w:rPr>
        <w:t>模式并存的方式。但应注意各种模式的侧重点和所占比例是否合理，力争把风险降到最低。</w:t>
      </w:r>
    </w:p>
    <w:p>
      <w:pPr>
        <w:ind w:firstLine="480" w:firstLineChars="200"/>
      </w:pPr>
      <w:r>
        <w:rPr>
          <w:rFonts w:hint="eastAsia"/>
        </w:rPr>
        <w:t>未来公司会继续强化“</w:t>
      </w:r>
      <w:r>
        <w:rPr>
          <w:rFonts w:hint="eastAsia"/>
          <w:lang w:val="en-US" w:eastAsia="zh-CN"/>
        </w:rPr>
        <w:t>德昶泰</w:t>
      </w:r>
      <w:r>
        <w:rPr>
          <w:rFonts w:hint="eastAsia"/>
        </w:rPr>
        <w:t>”的品牌效应，以自身品牌影响力拉动公司的业务发展。采取服务跟进、售后回访、品牌宣传等措施来加大公司在</w:t>
      </w:r>
      <w:r>
        <w:rPr>
          <w:rFonts w:hint="eastAsia"/>
          <w:lang w:val="en-US" w:eastAsia="zh-CN"/>
        </w:rPr>
        <w:t>淄博</w:t>
      </w:r>
      <w:r>
        <w:rPr>
          <w:rFonts w:hint="eastAsia"/>
        </w:rPr>
        <w:t>地区的品牌影响力，同时以自身品牌维系客户，增强客户对于公司品牌的认可度，从而拉动公司业务发展。</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2、完善组织结构及规范管理</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公司将充分利用本次挂牌的契机，按照上市公司规范运作的要求，以加强组织结构建设为重点，进一步完善实控人治理结构。</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未来公司将进一步完善内部管理制度，强化各项制度的执行工作，并通过激励约束机制增强员工归属感，调动员工积极性，利用人力资源优势，努力形成开放向上的企业文化，促进公司规范运作和稳健发展。</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3、人才培养方面</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 xml:space="preserve">随着公司生产经营规模持续扩大，公司对专业技术人才的需求日益强烈，特别是团队建设更需要具有全局性、战略性。未来，公司将扩大招聘力度，积极招揽优秀的技术和管理人才，不断提高员工薪酬水平，加大员工激励，提供更多的专业技能培训，夯实员工队伍，提高凝聚力，提高员工整体素质和专业能力，加强老技术人员的知识更新和新的技术人员的专业培训，培养一批高水平和高素质的管理人才队伍。不拘一格、不拘形式，建立健全人才引进的培训制度，大力提高人才综合素质，形成老中青、产学研相结合的人才体制结构，实施人才带动技术发展战略，为企业和行业建设服务。   </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4、文化建设</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建立多元文化，强化和塑造不同发展阶段的新文化；打造以“客户、员工、高效、诚信”为准绳、以客户为核心、以业绩为导向的组织文化；倡导“员工关怀”活动，增强员工归属感。</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5、加强融资</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 xml:space="preserve">公司依照发展运营需要，将采取多元化的筹资方式，来满足不同时期的各项发展规划的资金需求，推动公司持续、快速、健康发展。 </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1）重点做好本次齐鲁股权交易中心挂牌工作，本次挂牌完成后，公司将视生产经营需要，积极利用资本市场的直接融资功能，借助“齐鲁股权交易中心”融资平台“小额、多次、快速、低成本”的特点，通过股权增发、私募债券的方式获取下一步发展所需的资金。</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（2）公司将继续与各银行保持密切合作，利用银行贷款等间接融资方式满足企业经营发展需要。</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rPr>
      </w:pPr>
      <w:r>
        <w:rPr>
          <w:rFonts w:hint="eastAsia"/>
          <w:lang w:val="en-US" w:eastAsia="zh-CN"/>
        </w:rPr>
        <w:t>（3）制订和完善融资发展战略，将有计划、有步骤地引进包括战略投资机构和公司上下游企业在内的战略投资者，积极加快与资本市场接轨的步伐，为登陆主板市场打下坚实基础</w:t>
      </w:r>
      <w:r>
        <w:rPr>
          <w:rFonts w:hint="eastAsia"/>
        </w:rPr>
        <w:t>。</w:t>
      </w:r>
      <w:bookmarkEnd w:id="44"/>
    </w:p>
    <w:p>
      <w:pPr>
        <w:pStyle w:val="2"/>
        <w:jc w:val="center"/>
        <w:rPr>
          <w:rFonts w:ascii="仿宋" w:hAnsi="仿宋" w:eastAsia="仿宋" w:cs="仿宋"/>
          <w:szCs w:val="32"/>
        </w:rPr>
      </w:pPr>
      <w:bookmarkStart w:id="46" w:name="_Toc27803"/>
      <w:r>
        <w:rPr>
          <w:rFonts w:hint="eastAsia"/>
        </w:rPr>
        <w:t>第三章 本次挂牌的有关机构</w:t>
      </w:r>
      <w:bookmarkEnd w:id="46"/>
    </w:p>
    <w:p>
      <w:pPr>
        <w:ind w:firstLine="480"/>
        <w:outlineLvl w:val="1"/>
        <w:rPr>
          <w:rFonts w:ascii="宋体" w:hAnsi="宋体"/>
          <w:b/>
          <w:bCs/>
          <w:sz w:val="28"/>
          <w:szCs w:val="28"/>
        </w:rPr>
      </w:pPr>
      <w:bookmarkStart w:id="47" w:name="_Toc25568"/>
      <w:r>
        <w:rPr>
          <w:rFonts w:hint="eastAsia" w:ascii="宋体" w:hAnsi="宋体"/>
          <w:b/>
          <w:bCs/>
          <w:sz w:val="28"/>
          <w:szCs w:val="28"/>
        </w:rPr>
        <w:t>一、推荐机构</w:t>
      </w:r>
      <w:bookmarkEnd w:id="47"/>
    </w:p>
    <w:p>
      <w:pPr>
        <w:ind w:firstLine="480"/>
        <w:jc w:val="left"/>
        <w:rPr>
          <w:rFonts w:ascii="宋体" w:hAnsi="宋体"/>
        </w:rPr>
      </w:pPr>
      <w:r>
        <w:rPr>
          <w:rFonts w:hint="eastAsia" w:ascii="宋体" w:hAnsi="宋体"/>
        </w:rPr>
        <w:t>名    称： 烟台瀚永投资有限公司</w:t>
      </w:r>
    </w:p>
    <w:p>
      <w:pPr>
        <w:ind w:firstLine="480"/>
        <w:jc w:val="left"/>
        <w:rPr>
          <w:rFonts w:ascii="宋体" w:hAnsi="宋体"/>
        </w:rPr>
      </w:pPr>
      <w:r>
        <w:rPr>
          <w:rFonts w:hint="eastAsia" w:ascii="宋体" w:hAnsi="宋体"/>
        </w:rPr>
        <w:t>办公地址： 烟台市福山区永达街1021号福山政务中心10层1007室</w:t>
      </w:r>
    </w:p>
    <w:p>
      <w:pPr>
        <w:ind w:firstLine="480"/>
        <w:jc w:val="left"/>
        <w:rPr>
          <w:rFonts w:ascii="宋体" w:hAnsi="宋体"/>
        </w:rPr>
      </w:pPr>
      <w:r>
        <w:rPr>
          <w:rFonts w:hint="eastAsia" w:ascii="宋体" w:hAnsi="宋体"/>
        </w:rPr>
        <w:t xml:space="preserve">法定代表人（负责人）：杨永斌 </w:t>
      </w:r>
    </w:p>
    <w:p>
      <w:pPr>
        <w:ind w:firstLine="480"/>
        <w:jc w:val="left"/>
        <w:rPr>
          <w:rFonts w:hint="default" w:ascii="宋体" w:hAnsi="宋体" w:eastAsia="宋体"/>
          <w:lang w:val="en-US" w:eastAsia="zh-CN"/>
        </w:rPr>
      </w:pPr>
      <w:r>
        <w:rPr>
          <w:rFonts w:hint="eastAsia" w:ascii="宋体" w:hAnsi="宋体"/>
        </w:rPr>
        <w:t xml:space="preserve">推荐经办人： </w:t>
      </w:r>
      <w:r>
        <w:rPr>
          <w:rFonts w:hint="eastAsia" w:ascii="宋体" w:hAnsi="宋体"/>
          <w:lang w:val="en-US" w:eastAsia="zh-CN"/>
        </w:rPr>
        <w:t>于明亮</w:t>
      </w:r>
      <w:r>
        <w:rPr>
          <w:rFonts w:hint="eastAsia" w:ascii="宋体" w:hAnsi="宋体"/>
          <w:lang w:eastAsia="zh-CN"/>
        </w:rPr>
        <w:t>、</w:t>
      </w:r>
      <w:r>
        <w:rPr>
          <w:rFonts w:hint="eastAsia" w:ascii="宋体" w:hAnsi="宋体"/>
          <w:lang w:val="en-US" w:eastAsia="zh-CN"/>
        </w:rPr>
        <w:t>李姗姗</w:t>
      </w:r>
    </w:p>
    <w:p>
      <w:pPr>
        <w:ind w:firstLine="480"/>
        <w:jc w:val="left"/>
        <w:rPr>
          <w:rFonts w:ascii="宋体" w:hAnsi="宋体"/>
        </w:rPr>
      </w:pPr>
      <w:r>
        <w:rPr>
          <w:rFonts w:hint="eastAsia" w:ascii="宋体" w:hAnsi="宋体"/>
        </w:rPr>
        <w:t>电    话：0535-6321200</w:t>
      </w:r>
    </w:p>
    <w:p>
      <w:pPr>
        <w:ind w:firstLine="480"/>
        <w:outlineLvl w:val="1"/>
        <w:rPr>
          <w:rFonts w:ascii="宋体" w:hAnsi="宋体"/>
          <w:b/>
          <w:bCs/>
          <w:sz w:val="28"/>
          <w:szCs w:val="28"/>
          <w:highlight w:val="none"/>
        </w:rPr>
      </w:pPr>
      <w:bookmarkStart w:id="48" w:name="_Toc22533"/>
      <w:r>
        <w:rPr>
          <w:rFonts w:hint="eastAsia" w:ascii="宋体" w:hAnsi="宋体"/>
          <w:b/>
          <w:bCs/>
          <w:sz w:val="28"/>
          <w:szCs w:val="28"/>
          <w:highlight w:val="none"/>
        </w:rPr>
        <w:t>二、审计机构</w:t>
      </w:r>
      <w:bookmarkEnd w:id="48"/>
    </w:p>
    <w:p>
      <w:pPr>
        <w:ind w:firstLine="480"/>
        <w:rPr>
          <w:rFonts w:hint="eastAsia" w:ascii="宋体" w:hAnsi="宋体" w:eastAsia="宋体"/>
          <w:highlight w:val="none"/>
          <w:lang w:eastAsia="zh-CN"/>
        </w:rPr>
      </w:pPr>
      <w:r>
        <w:rPr>
          <w:rFonts w:hint="eastAsia" w:ascii="宋体" w:hAnsi="宋体"/>
          <w:highlight w:val="none"/>
        </w:rPr>
        <w:t>名    称：</w:t>
      </w:r>
      <w:r>
        <w:rPr>
          <w:rFonts w:hint="eastAsia" w:ascii="宋体" w:hAnsi="宋体"/>
          <w:highlight w:val="none"/>
          <w:lang w:eastAsia="zh-CN"/>
        </w:rPr>
        <w:t>山东舜天信诚会计师事务所（特殊普通合伙）</w:t>
      </w:r>
    </w:p>
    <w:p>
      <w:pPr>
        <w:ind w:firstLine="480"/>
        <w:rPr>
          <w:rFonts w:ascii="宋体" w:hAnsi="宋体"/>
          <w:highlight w:val="none"/>
        </w:rPr>
      </w:pPr>
      <w:r>
        <w:rPr>
          <w:rFonts w:hint="eastAsia" w:ascii="宋体" w:hAnsi="宋体"/>
          <w:highlight w:val="none"/>
        </w:rPr>
        <w:t>办公地址：山东省济南市历下区花园路189-2号畅远商座甲座三楼</w:t>
      </w:r>
    </w:p>
    <w:p>
      <w:pPr>
        <w:ind w:firstLine="480"/>
        <w:rPr>
          <w:rFonts w:ascii="宋体" w:hAnsi="宋体"/>
          <w:highlight w:val="none"/>
        </w:rPr>
      </w:pPr>
      <w:r>
        <w:rPr>
          <w:rFonts w:hint="eastAsia" w:ascii="宋体" w:hAnsi="宋体"/>
          <w:highlight w:val="none"/>
        </w:rPr>
        <w:t>负 责 人：肖东义</w:t>
      </w:r>
    </w:p>
    <w:p>
      <w:pPr>
        <w:ind w:firstLine="480"/>
        <w:rPr>
          <w:rFonts w:ascii="宋体" w:hAnsi="宋体"/>
          <w:highlight w:val="none"/>
        </w:rPr>
      </w:pPr>
      <w:r>
        <w:rPr>
          <w:rFonts w:hint="eastAsia" w:ascii="宋体" w:hAnsi="宋体"/>
          <w:highlight w:val="none"/>
        </w:rPr>
        <w:t xml:space="preserve">经办注册会计师：肖东义 </w:t>
      </w:r>
      <w:r>
        <w:rPr>
          <w:rFonts w:ascii="宋体" w:hAnsi="宋体"/>
          <w:highlight w:val="none"/>
        </w:rPr>
        <w:t xml:space="preserve"> </w:t>
      </w:r>
      <w:r>
        <w:rPr>
          <w:rFonts w:hint="eastAsia" w:ascii="宋体" w:hAnsi="宋体"/>
          <w:highlight w:val="none"/>
        </w:rPr>
        <w:t>朱大廷</w:t>
      </w:r>
    </w:p>
    <w:p>
      <w:pPr>
        <w:ind w:firstLine="480"/>
        <w:rPr>
          <w:rFonts w:ascii="宋体" w:hAnsi="宋体"/>
          <w:highlight w:val="none"/>
        </w:rPr>
      </w:pPr>
      <w:r>
        <w:rPr>
          <w:rFonts w:hint="eastAsia" w:ascii="宋体" w:hAnsi="宋体"/>
          <w:highlight w:val="none"/>
        </w:rPr>
        <w:t>电    话：0</w:t>
      </w:r>
      <w:r>
        <w:rPr>
          <w:rFonts w:ascii="宋体" w:hAnsi="宋体"/>
          <w:highlight w:val="none"/>
        </w:rPr>
        <w:t>531</w:t>
      </w:r>
      <w:r>
        <w:rPr>
          <w:rFonts w:hint="eastAsia" w:ascii="宋体" w:hAnsi="宋体"/>
          <w:highlight w:val="none"/>
        </w:rPr>
        <w:t>-</w:t>
      </w:r>
      <w:r>
        <w:rPr>
          <w:rFonts w:ascii="宋体" w:hAnsi="宋体"/>
          <w:highlight w:val="none"/>
        </w:rPr>
        <w:t>86550426</w:t>
      </w:r>
    </w:p>
    <w:p>
      <w:pPr>
        <w:ind w:firstLine="480"/>
        <w:outlineLvl w:val="1"/>
        <w:rPr>
          <w:rFonts w:ascii="宋体" w:hAnsi="宋体"/>
          <w:sz w:val="28"/>
          <w:szCs w:val="28"/>
        </w:rPr>
      </w:pPr>
      <w:bookmarkStart w:id="49" w:name="_Toc4398"/>
      <w:r>
        <w:rPr>
          <w:rFonts w:hint="eastAsia" w:ascii="宋体" w:hAnsi="宋体"/>
          <w:b/>
          <w:bCs/>
          <w:sz w:val="28"/>
          <w:szCs w:val="28"/>
        </w:rPr>
        <w:t>三、股权登记托管机构</w:t>
      </w:r>
      <w:bookmarkEnd w:id="49"/>
    </w:p>
    <w:p>
      <w:pPr>
        <w:ind w:firstLine="480"/>
        <w:rPr>
          <w:rFonts w:ascii="宋体" w:hAnsi="宋体"/>
        </w:rPr>
      </w:pPr>
      <w:r>
        <w:rPr>
          <w:rFonts w:hint="eastAsia" w:ascii="宋体" w:hAnsi="宋体"/>
        </w:rPr>
        <w:t>名    称：齐鲁股权交易中心有限公司</w:t>
      </w:r>
    </w:p>
    <w:p>
      <w:pPr>
        <w:ind w:firstLine="480"/>
        <w:rPr>
          <w:rFonts w:ascii="宋体" w:hAnsi="宋体"/>
        </w:rPr>
      </w:pPr>
      <w:r>
        <w:rPr>
          <w:rFonts w:hint="eastAsia" w:ascii="宋体" w:hAnsi="宋体"/>
        </w:rPr>
        <w:t xml:space="preserve">注册地址：山东省淄博市张店区人民西路228号金融大厦3、4、20、21、22层 </w:t>
      </w:r>
    </w:p>
    <w:p>
      <w:pPr>
        <w:ind w:firstLine="480"/>
        <w:rPr>
          <w:rFonts w:ascii="宋体" w:hAnsi="宋体"/>
        </w:rPr>
      </w:pPr>
      <w:r>
        <w:rPr>
          <w:rFonts w:hint="eastAsia" w:ascii="宋体" w:hAnsi="宋体"/>
        </w:rPr>
        <w:t>电    话：0533-277</w:t>
      </w:r>
      <w:r>
        <w:rPr>
          <w:rFonts w:ascii="宋体" w:hAnsi="宋体"/>
        </w:rPr>
        <w:t>8470</w:t>
      </w:r>
    </w:p>
    <w:p>
      <w:pPr>
        <w:ind w:firstLine="480"/>
        <w:rPr>
          <w:rFonts w:ascii="仿宋" w:hAnsi="仿宋" w:eastAsia="仿宋" w:cs="仿宋"/>
          <w:sz w:val="32"/>
          <w:szCs w:val="32"/>
        </w:rPr>
      </w:pPr>
      <w:r>
        <w:rPr>
          <w:rFonts w:hint="eastAsia" w:ascii="宋体" w:hAnsi="宋体"/>
        </w:rPr>
        <w:t>传    真：0533-277</w:t>
      </w:r>
      <w:r>
        <w:rPr>
          <w:rFonts w:ascii="宋体" w:hAnsi="宋体"/>
        </w:rPr>
        <w:t>8470</w:t>
      </w:r>
    </w:p>
    <w:p>
      <w:pPr>
        <w:rPr>
          <w:rFonts w:ascii="仿宋" w:hAnsi="仿宋" w:eastAsia="仿宋" w:cs="仿宋"/>
          <w:sz w:val="32"/>
          <w:szCs w:val="32"/>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Narrow">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2508250</wp:posOffset>
              </wp:positionH>
              <wp:positionV relativeFrom="paragraph">
                <wp:posOffset>635</wp:posOffset>
              </wp:positionV>
              <wp:extent cx="488950" cy="1828800"/>
              <wp:effectExtent l="0" t="0" r="6350" b="14605"/>
              <wp:wrapNone/>
              <wp:docPr id="2" name="文本框 2"/>
              <wp:cNvGraphicFramePr/>
              <a:graphic xmlns:a="http://schemas.openxmlformats.org/drawingml/2006/main">
                <a:graphicData uri="http://schemas.microsoft.com/office/word/2010/wordprocessingShape">
                  <wps:wsp>
                    <wps:cNvSpPr txBox="1"/>
                    <wps:spPr>
                      <a:xfrm>
                        <a:off x="0" y="0"/>
                        <a:ext cx="4889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7.5pt;margin-top:0.05pt;height:144pt;width:38.5pt;mso-position-horizontal-relative:margin;z-index:251659264;mso-width-relative:page;mso-height-relative:page;" filled="f" stroked="f" coordsize="21600,21600" o:gfxdata="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gOaFfWAAAACAEAAA8AAAAAAAAAAQAgAAAAIgAAAGRycy9kb3ducmV2LnhtbFBL&#10;AQIUABQAAAAIAIdO4kDBOpYcMQIAAFYEAAAOAAAAAAAAAAEAIAAAACUBAABkcnMvZTJvRG9jLnht&#10;bFBLBQYAAAAABgAGAFkBAADIBQAAAAA=&#10;">
              <v:fill on="f" focussize="0,0"/>
              <v:stroke on="f" weight="0.5pt"/>
              <v:imagedata o:title=""/>
              <o:lock v:ext="edit" aspectratio="f"/>
              <v:textbox inset="0mm,0mm,0mm,0mm" style="mso-fit-shape-to-text:t;">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烟台瀚永投资有限公司                                                      挂牌转让说明书摘要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81CD7"/>
    <w:multiLevelType w:val="singleLevel"/>
    <w:tmpl w:val="59F81CD7"/>
    <w:lvl w:ilvl="0" w:tentative="0">
      <w:start w:val="2"/>
      <w:numFmt w:val="chineseCounting"/>
      <w:suff w:val="nothing"/>
      <w:lvlText w:val="（%1）"/>
      <w:lvlJc w:val="left"/>
    </w:lvl>
  </w:abstractNum>
  <w:abstractNum w:abstractNumId="1">
    <w:nsid w:val="5A0BE1DE"/>
    <w:multiLevelType w:val="singleLevel"/>
    <w:tmpl w:val="5A0BE1D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B"/>
    <w:rsid w:val="0003617F"/>
    <w:rsid w:val="000457D6"/>
    <w:rsid w:val="00055162"/>
    <w:rsid w:val="00076722"/>
    <w:rsid w:val="00077EEA"/>
    <w:rsid w:val="000A3763"/>
    <w:rsid w:val="000E5D50"/>
    <w:rsid w:val="000F6BEC"/>
    <w:rsid w:val="001272BF"/>
    <w:rsid w:val="0017622D"/>
    <w:rsid w:val="001851D9"/>
    <w:rsid w:val="00186461"/>
    <w:rsid w:val="00187174"/>
    <w:rsid w:val="001E0B5F"/>
    <w:rsid w:val="00270385"/>
    <w:rsid w:val="002879A6"/>
    <w:rsid w:val="003070D4"/>
    <w:rsid w:val="00310354"/>
    <w:rsid w:val="00326182"/>
    <w:rsid w:val="00344E1A"/>
    <w:rsid w:val="00346960"/>
    <w:rsid w:val="00354DC9"/>
    <w:rsid w:val="00367382"/>
    <w:rsid w:val="00390064"/>
    <w:rsid w:val="003B30D7"/>
    <w:rsid w:val="003D5BCE"/>
    <w:rsid w:val="003E77D6"/>
    <w:rsid w:val="00446A47"/>
    <w:rsid w:val="004C18B7"/>
    <w:rsid w:val="004C1CBF"/>
    <w:rsid w:val="004E4ADD"/>
    <w:rsid w:val="0051639C"/>
    <w:rsid w:val="00527BFA"/>
    <w:rsid w:val="00532F3E"/>
    <w:rsid w:val="00564886"/>
    <w:rsid w:val="005A3BD9"/>
    <w:rsid w:val="005B4E9B"/>
    <w:rsid w:val="00604CD3"/>
    <w:rsid w:val="00611CCD"/>
    <w:rsid w:val="00621C1E"/>
    <w:rsid w:val="00630E37"/>
    <w:rsid w:val="0063650B"/>
    <w:rsid w:val="00652E61"/>
    <w:rsid w:val="006919CB"/>
    <w:rsid w:val="006D10AA"/>
    <w:rsid w:val="006D4494"/>
    <w:rsid w:val="006F2A51"/>
    <w:rsid w:val="0072035D"/>
    <w:rsid w:val="007E7F60"/>
    <w:rsid w:val="007F4589"/>
    <w:rsid w:val="00802380"/>
    <w:rsid w:val="00842F11"/>
    <w:rsid w:val="00857287"/>
    <w:rsid w:val="00866DFE"/>
    <w:rsid w:val="008B1D0C"/>
    <w:rsid w:val="008D1648"/>
    <w:rsid w:val="008F5514"/>
    <w:rsid w:val="00954BFB"/>
    <w:rsid w:val="00982977"/>
    <w:rsid w:val="00984B8F"/>
    <w:rsid w:val="009A54AB"/>
    <w:rsid w:val="009D03AA"/>
    <w:rsid w:val="00A126B9"/>
    <w:rsid w:val="00A37082"/>
    <w:rsid w:val="00B00450"/>
    <w:rsid w:val="00B043A0"/>
    <w:rsid w:val="00B17078"/>
    <w:rsid w:val="00B456C3"/>
    <w:rsid w:val="00B5412A"/>
    <w:rsid w:val="00B90B34"/>
    <w:rsid w:val="00C058F4"/>
    <w:rsid w:val="00C6536B"/>
    <w:rsid w:val="00C840AA"/>
    <w:rsid w:val="00CF2560"/>
    <w:rsid w:val="00CF55ED"/>
    <w:rsid w:val="00CF5FD4"/>
    <w:rsid w:val="00D1230C"/>
    <w:rsid w:val="00D24DE9"/>
    <w:rsid w:val="00D43AA2"/>
    <w:rsid w:val="00D507B3"/>
    <w:rsid w:val="00D7306C"/>
    <w:rsid w:val="00D77C16"/>
    <w:rsid w:val="00E101A1"/>
    <w:rsid w:val="00E12641"/>
    <w:rsid w:val="00E126BD"/>
    <w:rsid w:val="00E9510B"/>
    <w:rsid w:val="00EA7AB7"/>
    <w:rsid w:val="00EC5CB1"/>
    <w:rsid w:val="00F11DBC"/>
    <w:rsid w:val="00F13BE6"/>
    <w:rsid w:val="015D5EBB"/>
    <w:rsid w:val="06917D50"/>
    <w:rsid w:val="0B0A14A2"/>
    <w:rsid w:val="0D8F78D5"/>
    <w:rsid w:val="0DC55A5C"/>
    <w:rsid w:val="0E1D4990"/>
    <w:rsid w:val="0F406E33"/>
    <w:rsid w:val="0F876D89"/>
    <w:rsid w:val="14932E38"/>
    <w:rsid w:val="17A961DB"/>
    <w:rsid w:val="1A523845"/>
    <w:rsid w:val="1F785DBD"/>
    <w:rsid w:val="21FF013A"/>
    <w:rsid w:val="24AA58CC"/>
    <w:rsid w:val="27186A40"/>
    <w:rsid w:val="27614DC9"/>
    <w:rsid w:val="2C0D4202"/>
    <w:rsid w:val="2FB479CC"/>
    <w:rsid w:val="316C2956"/>
    <w:rsid w:val="3A7A7D3E"/>
    <w:rsid w:val="42D03BA5"/>
    <w:rsid w:val="460F7809"/>
    <w:rsid w:val="4644478D"/>
    <w:rsid w:val="469022A7"/>
    <w:rsid w:val="4AD56418"/>
    <w:rsid w:val="4AE66FAB"/>
    <w:rsid w:val="4C443965"/>
    <w:rsid w:val="53B20807"/>
    <w:rsid w:val="55A94E7F"/>
    <w:rsid w:val="55B72FCB"/>
    <w:rsid w:val="5DB05317"/>
    <w:rsid w:val="618810E8"/>
    <w:rsid w:val="621A0073"/>
    <w:rsid w:val="659642BC"/>
    <w:rsid w:val="665744AA"/>
    <w:rsid w:val="695141D5"/>
    <w:rsid w:val="6C6F083F"/>
    <w:rsid w:val="6EEA4F1D"/>
    <w:rsid w:val="73A91DCB"/>
    <w:rsid w:val="744F3C17"/>
    <w:rsid w:val="77531126"/>
    <w:rsid w:val="7CB57BC0"/>
    <w:rsid w:val="7CEA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32"/>
    </w:rPr>
  </w:style>
  <w:style w:type="paragraph" w:styleId="3">
    <w:name w:val="heading 2"/>
    <w:basedOn w:val="1"/>
    <w:next w:val="1"/>
    <w:qFormat/>
    <w:uiPriority w:val="0"/>
    <w:pPr>
      <w:keepNext/>
      <w:keepLines/>
      <w:spacing w:before="20" w:after="20" w:line="413" w:lineRule="auto"/>
      <w:ind w:left="200" w:leftChars="200"/>
      <w:outlineLvl w:val="1"/>
    </w:pPr>
    <w:rPr>
      <w:rFonts w:ascii="Arial" w:hAnsi="Arial"/>
      <w:b/>
      <w:sz w:val="28"/>
    </w:rPr>
  </w:style>
  <w:style w:type="paragraph" w:styleId="4">
    <w:name w:val="heading 3"/>
    <w:basedOn w:val="1"/>
    <w:next w:val="1"/>
    <w:link w:val="20"/>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unhideWhenUsed/>
    <w:qFormat/>
    <w:uiPriority w:val="99"/>
    <w:pPr>
      <w:spacing w:after="120"/>
      <w:ind w:left="420" w:leftChars="200"/>
    </w:pPr>
  </w:style>
  <w:style w:type="paragraph" w:styleId="7">
    <w:name w:val="Balloon Text"/>
    <w:basedOn w:val="1"/>
    <w:link w:val="17"/>
    <w:qFormat/>
    <w:uiPriority w:val="0"/>
    <w:pPr>
      <w:spacing w:line="240" w:lineRule="auto"/>
    </w:pPr>
    <w:rPr>
      <w:sz w:val="18"/>
      <w:szCs w:val="18"/>
    </w:rPr>
  </w:style>
  <w:style w:type="paragraph" w:styleId="8">
    <w:name w:val="footer"/>
    <w:basedOn w:val="1"/>
    <w:link w:val="22"/>
    <w:qFormat/>
    <w:uiPriority w:val="0"/>
    <w:pPr>
      <w:tabs>
        <w:tab w:val="center" w:pos="4153"/>
        <w:tab w:val="right" w:pos="8306"/>
      </w:tabs>
      <w:snapToGrid w:val="0"/>
      <w:spacing w:line="240" w:lineRule="auto"/>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character" w:styleId="14">
    <w:name w:val="Hyperlink"/>
    <w:qFormat/>
    <w:uiPriority w:val="99"/>
    <w:rPr>
      <w:color w:val="0000FF"/>
      <w:u w:val="single"/>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7">
    <w:name w:val="批注框文本 字符"/>
    <w:link w:val="7"/>
    <w:qFormat/>
    <w:uiPriority w:val="0"/>
    <w:rPr>
      <w:kern w:val="2"/>
      <w:sz w:val="18"/>
      <w:szCs w:val="18"/>
    </w:rPr>
  </w:style>
  <w:style w:type="paragraph" w:customStyle="1" w:styleId="18">
    <w:name w:val="修订1"/>
    <w:hidden/>
    <w:unhideWhenUsed/>
    <w:qFormat/>
    <w:uiPriority w:val="99"/>
    <w:rPr>
      <w:rFonts w:ascii="Times New Roman" w:hAnsi="Times New Roman" w:eastAsia="宋体" w:cs="Times New Roman"/>
      <w:kern w:val="2"/>
      <w:sz w:val="24"/>
      <w:szCs w:val="24"/>
      <w:lang w:val="en-US" w:eastAsia="zh-CN" w:bidi="ar-SA"/>
    </w:rPr>
  </w:style>
  <w:style w:type="paragraph" w:styleId="19">
    <w:name w:val="List Paragraph"/>
    <w:basedOn w:val="1"/>
    <w:qFormat/>
    <w:uiPriority w:val="99"/>
    <w:pPr>
      <w:ind w:firstLine="420" w:firstLineChars="200"/>
    </w:pPr>
  </w:style>
  <w:style w:type="character" w:customStyle="1" w:styleId="20">
    <w:name w:val="标题 3 字符"/>
    <w:link w:val="4"/>
    <w:qFormat/>
    <w:uiPriority w:val="0"/>
    <w:rPr>
      <w:b/>
      <w:bCs/>
      <w:kern w:val="2"/>
      <w:sz w:val="32"/>
      <w:szCs w:val="32"/>
    </w:rPr>
  </w:style>
  <w:style w:type="character" w:customStyle="1" w:styleId="21">
    <w:name w:val="页眉 字符"/>
    <w:link w:val="9"/>
    <w:qFormat/>
    <w:uiPriority w:val="0"/>
    <w:rPr>
      <w:kern w:val="2"/>
      <w:sz w:val="18"/>
      <w:szCs w:val="18"/>
    </w:rPr>
  </w:style>
  <w:style w:type="character" w:customStyle="1" w:styleId="22">
    <w:name w:val="页脚 字符"/>
    <w:link w:val="8"/>
    <w:qFormat/>
    <w:uiPriority w:val="0"/>
    <w:rPr>
      <w:kern w:val="2"/>
      <w:sz w:val="18"/>
      <w:szCs w:val="18"/>
    </w:rPr>
  </w:style>
  <w:style w:type="character" w:customStyle="1" w:styleId="23">
    <w:name w:val="font4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solidFill>
                  <a:schemeClr val="tx1"/>
                </a:solidFill>
              </a:rPr>
              <a:t>淄博德昶泰经贸有限公司股权架构图</a:t>
            </a:r>
            <a:endParaRPr sz="1600" b="1">
              <a:solidFill>
                <a:schemeClr val="tx1"/>
              </a:solidFill>
            </a:endParaRPr>
          </a:p>
        </c:rich>
      </c:tx>
      <c:layout>
        <c:manualLayout>
          <c:xMode val="edge"/>
          <c:yMode val="edge"/>
          <c:x val="0.14029528412964"/>
          <c:y val="0.0541134945032176"/>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200426297451482"/>
                  <c:y val="-0.1795023771212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b="1"/>
                      <a:t>向德庆 345万元 69%</a:t>
                    </a:r>
                    <a:endParaRPr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7568321249303"/>
                      <c:h val="0.208642808912897"/>
                    </c:manualLayout>
                  </c15:layout>
                </c:ext>
              </c:extLst>
            </c:dLbl>
            <c:dLbl>
              <c:idx val="1"/>
              <c:layout>
                <c:manualLayout>
                  <c:x val="0.184406286074869"/>
                  <c:y val="0.18985575676428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b="1"/>
                      <a:t>何恒广 155万元31%</a:t>
                    </a:r>
                    <a:endParaRPr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2509760178472"/>
                      <c:h val="0.20864280891289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向德庆</c:v>
                </c:pt>
                <c:pt idx="1">
                  <c:v>何恒广</c:v>
                </c:pt>
              </c:strCache>
            </c:strRef>
          </c:cat>
          <c:val>
            <c:numRef>
              <c:f>[工作簿1]Sheet1!$A$2:$B$2</c:f>
              <c:numCache>
                <c:formatCode>0%</c:formatCode>
                <c:ptCount val="2"/>
                <c:pt idx="0">
                  <c:v>0.69</c:v>
                </c:pt>
                <c:pt idx="1">
                  <c:v>0.31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1822</Words>
  <Characters>10390</Characters>
  <Lines>86</Lines>
  <Paragraphs>24</Paragraphs>
  <TotalTime>0</TotalTime>
  <ScaleCrop>false</ScaleCrop>
  <LinksUpToDate>false</LinksUpToDate>
  <CharactersWithSpaces>12188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2019-12-08T06:58:00Z</dcterms:created>
  <dc:creator>lenovo</dc:creator>
  <cp:lastModifiedBy>lee</cp:lastModifiedBy>
  <dcterms:modified xsi:type="dcterms:W3CDTF">2021-08-16T08:26:30Z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B8163FE4AFBA43B5BC2A6851CA94D8BD</vt:lpwstr>
  </property>
</Properties>
</file>