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rPr>
          <w:rStyle w:val="32"/>
          <w:rFonts w:hint="eastAsia" w:ascii="Times New Roman" w:hAnsi="Times New Roman"/>
          <w:caps w:val="0"/>
          <w:sz w:val="24"/>
          <w:szCs w:val="24"/>
        </w:rPr>
      </w:pPr>
      <w:bookmarkStart w:id="0" w:name="_Toc236113866"/>
      <w:r>
        <w:rPr>
          <w:rFonts w:hint="eastAsia" w:ascii="Times New Roman" w:hAnsi="Times New Roman"/>
          <w:caps w:val="0"/>
          <w:color w:val="0000F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131445</wp:posOffset>
                </wp:positionV>
                <wp:extent cx="4419600" cy="1759585"/>
                <wp:effectExtent l="4445" t="4445" r="14605" b="7620"/>
                <wp:wrapNone/>
                <wp:docPr id="1" name="自选图形 1340"/>
                <wp:cNvGraphicFramePr/>
                <a:graphic xmlns:a="http://schemas.openxmlformats.org/drawingml/2006/main">
                  <a:graphicData uri="http://schemas.microsoft.com/office/word/2010/wordprocessingShape">
                    <wps:wsp>
                      <wps:cNvSpPr>
                        <a:spLocks noChangeArrowheads="1"/>
                      </wps:cNvSpPr>
                      <wps:spPr bwMode="auto">
                        <a:xfrm>
                          <a:off x="0" y="0"/>
                          <a:ext cx="4419600" cy="1759585"/>
                        </a:xfrm>
                        <a:prstGeom prst="roundRect">
                          <a:avLst>
                            <a:gd name="adj" fmla="val 16667"/>
                          </a:avLst>
                        </a:prstGeom>
                        <a:solidFill>
                          <a:srgbClr val="FFFFFF"/>
                        </a:solidFill>
                        <a:ln w="9525" cmpd="sng">
                          <a:solidFill>
                            <a:srgbClr val="000000"/>
                          </a:solidFill>
                          <a:round/>
                        </a:ln>
                      </wps:spPr>
                      <wps:txbx>
                        <w:txbxContent>
                          <w:p>
                            <w:pPr>
                              <w:ind w:firstLine="480"/>
                              <w:rPr>
                                <w:rFonts w:hint="eastAsia"/>
                              </w:rPr>
                            </w:pPr>
                            <w:r>
                              <w:rPr>
                                <w:rFonts w:hint="eastAsia"/>
                              </w:rPr>
                              <w:t>区域性股权交易市场具有较高的投资风险，挂牌公司经营风险高，投资者面临较大的市场风险。投资者应充分了解区域性股权交易市场的投资风险及本公司所披露的风险因素，审慎做出投资决定。</w:t>
                            </w:r>
                          </w:p>
                        </w:txbxContent>
                      </wps:txbx>
                      <wps:bodyPr rot="0" vert="horz" wrap="square" lIns="91440" tIns="45720" rIns="91440" bIns="45720" anchor="t" anchorCtr="0" upright="1">
                        <a:noAutofit/>
                      </wps:bodyPr>
                    </wps:wsp>
                  </a:graphicData>
                </a:graphic>
              </wp:anchor>
            </w:drawing>
          </mc:Choice>
          <mc:Fallback>
            <w:pict>
              <v:roundrect id="自选图形 1340" o:spid="_x0000_s1026" o:spt="2" style="position:absolute;left:0pt;margin-left:36pt;margin-top:10.35pt;height:138.55pt;width:348pt;z-index:251658240;mso-width-relative:page;mso-height-relative:page;" fillcolor="#FFFFFF" filled="t" stroked="t" coordsize="21600,21600" arcsize="0.166666666666667" o:gfxdata="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7CXWwdUAAAAJAQAADwAAAAAAAAABACAA&#10;AAAiAAAAZHJzL2Rvd25yZXYueG1sUEsBAhQAFAAAAAgAh07iQN00nZNJAgAAZQQAAA4AAAAAAAAA&#10;AQAgAAAAJAEAAGRycy9lMm9Eb2MueG1sUEsFBgAAAAAGAAYAWQEAAN8FAAAAAA==&#10;">
                <v:fill on="t" focussize="0,0"/>
                <v:stroke color="#000000" joinstyle="round"/>
                <v:imagedata o:title=""/>
                <o:lock v:ext="edit" aspectratio="f"/>
                <v:textbox>
                  <w:txbxContent>
                    <w:p>
                      <w:pPr>
                        <w:ind w:firstLine="480"/>
                        <w:rPr>
                          <w:rFonts w:hint="eastAsia"/>
                        </w:rPr>
                      </w:pPr>
                      <w:r>
                        <w:rPr>
                          <w:rFonts w:hint="eastAsia"/>
                        </w:rPr>
                        <w:t>区域性股权交易市场具有较高的投资风险，挂牌公司经营风险高，投资者面临较大的市场风险。投资者应充分了解区域性股权交易市场的投资风险及本公司所披露的风险因素，审慎做出投资决定。</w:t>
                      </w:r>
                    </w:p>
                  </w:txbxContent>
                </v:textbox>
              </v:roundrect>
            </w:pict>
          </mc:Fallback>
        </mc:AlternateContent>
      </w:r>
    </w:p>
    <w:p>
      <w:pPr>
        <w:pStyle w:val="21"/>
        <w:rPr>
          <w:rStyle w:val="32"/>
          <w:rFonts w:hint="eastAsia" w:ascii="Times New Roman" w:hAnsi="Times New Roman"/>
          <w:caps w:val="0"/>
          <w:sz w:val="24"/>
          <w:szCs w:val="24"/>
        </w:rPr>
      </w:pPr>
    </w:p>
    <w:p>
      <w:pPr>
        <w:pStyle w:val="21"/>
        <w:rPr>
          <w:rStyle w:val="32"/>
          <w:rFonts w:hint="eastAsia" w:ascii="Times New Roman" w:hAnsi="Times New Roman"/>
          <w:caps w:val="0"/>
          <w:sz w:val="24"/>
          <w:szCs w:val="24"/>
        </w:rPr>
      </w:pPr>
    </w:p>
    <w:p>
      <w:pPr>
        <w:pStyle w:val="21"/>
        <w:rPr>
          <w:rStyle w:val="32"/>
          <w:rFonts w:hint="eastAsia" w:ascii="Times New Roman" w:hAnsi="Times New Roman"/>
          <w:caps w:val="0"/>
          <w:sz w:val="24"/>
          <w:szCs w:val="24"/>
        </w:rPr>
      </w:pPr>
    </w:p>
    <w:p>
      <w:pPr>
        <w:pStyle w:val="21"/>
        <w:rPr>
          <w:rStyle w:val="32"/>
          <w:rFonts w:hint="eastAsia" w:ascii="Times New Roman" w:hAnsi="Times New Roman"/>
          <w:caps w:val="0"/>
          <w:sz w:val="24"/>
          <w:szCs w:val="24"/>
        </w:rPr>
      </w:pPr>
    </w:p>
    <w:p>
      <w:pPr>
        <w:pStyle w:val="21"/>
        <w:rPr>
          <w:rStyle w:val="32"/>
          <w:rFonts w:hint="eastAsia" w:ascii="Times New Roman" w:hAnsi="Times New Roman"/>
          <w:caps w:val="0"/>
          <w:sz w:val="24"/>
          <w:szCs w:val="24"/>
        </w:rPr>
      </w:pPr>
    </w:p>
    <w:p>
      <w:pPr>
        <w:pStyle w:val="21"/>
        <w:rPr>
          <w:rStyle w:val="32"/>
          <w:rFonts w:hint="eastAsia" w:ascii="Times New Roman" w:hAnsi="Times New Roman"/>
          <w:caps w:val="0"/>
          <w:sz w:val="24"/>
          <w:szCs w:val="24"/>
        </w:rPr>
      </w:pPr>
    </w:p>
    <w:p>
      <w:pPr>
        <w:spacing w:line="360" w:lineRule="auto"/>
        <w:ind w:left="-360" w:leftChars="-150" w:right="-334" w:rightChars="-139" w:firstLine="0" w:firstLineChars="0"/>
        <w:jc w:val="center"/>
        <w:rPr>
          <w:rFonts w:hint="eastAsia" w:ascii="Times New Roman" w:hAnsi="Times New Roman" w:eastAsia="黑体"/>
          <w:b/>
          <w:bCs/>
          <w:caps w:val="0"/>
          <w:sz w:val="52"/>
          <w:szCs w:val="52"/>
          <w14:shadow w14:blurRad="50800" w14:dist="38100" w14:dir="2700000" w14:sx="100000" w14:sy="100000" w14:kx="0" w14:ky="0" w14:algn="tl">
            <w14:srgbClr w14:val="000000">
              <w14:alpha w14:val="60000"/>
            </w14:srgbClr>
          </w14:shadow>
        </w:rPr>
      </w:pPr>
      <w:r>
        <w:rPr>
          <w:rFonts w:hint="eastAsia" w:eastAsia="黑体"/>
          <w:b/>
          <w:bCs/>
          <w:caps w:val="0"/>
          <w:sz w:val="52"/>
          <w:szCs w:val="52"/>
          <w:lang w:eastAsia="zh-CN"/>
          <w14:shadow w14:blurRad="50800" w14:dist="38100" w14:dir="2700000" w14:sx="100000" w14:sy="100000" w14:kx="0" w14:ky="0" w14:algn="tl">
            <w14:srgbClr w14:val="000000">
              <w14:alpha w14:val="60000"/>
            </w14:srgbClr>
          </w14:shadow>
        </w:rPr>
        <w:t xml:space="preserve">山东兴恒环境科技集团有限公司     </w:t>
      </w:r>
      <w:r>
        <w:rPr>
          <w:rFonts w:hint="eastAsia" w:ascii="Times New Roman" w:hAnsi="Times New Roman" w:eastAsia="黑体"/>
          <w:b/>
          <w:bCs/>
          <w:caps w:val="0"/>
          <w:sz w:val="52"/>
          <w:szCs w:val="52"/>
          <w14:shadow w14:blurRad="50800" w14:dist="38100" w14:dir="2700000" w14:sx="100000" w14:sy="100000" w14:kx="0" w14:ky="0" w14:algn="tl">
            <w14:srgbClr w14:val="000000">
              <w14:alpha w14:val="60000"/>
            </w14:srgbClr>
          </w14:shadow>
        </w:rPr>
        <w:t>股权挂牌转让说明书摘要</w:t>
      </w:r>
    </w:p>
    <w:p>
      <w:pPr>
        <w:spacing w:line="360" w:lineRule="auto"/>
        <w:ind w:left="-360" w:leftChars="-150" w:right="-334" w:rightChars="-139" w:firstLine="0" w:firstLineChars="0"/>
        <w:jc w:val="center"/>
        <w:rPr>
          <w:rFonts w:hint="eastAsia" w:ascii="Times New Roman" w:hAnsi="Times New Roman" w:eastAsia="黑体"/>
          <w:b/>
          <w:bCs/>
          <w:caps w:val="0"/>
          <w:sz w:val="52"/>
          <w:szCs w:val="52"/>
          <w14:shadow w14:blurRad="50800" w14:dist="38100" w14:dir="2700000" w14:sx="100000" w14:sy="100000" w14:kx="0" w14:ky="0" w14:algn="tl">
            <w14:srgbClr w14:val="000000">
              <w14:alpha w14:val="60000"/>
            </w14:srgbClr>
          </w14:shadow>
        </w:rPr>
      </w:pPr>
      <w:r>
        <w:rPr>
          <w:rFonts w:hint="eastAsia" w:ascii="Times New Roman" w:hAnsi="Times New Roman" w:eastAsia="黑体"/>
          <w:b/>
          <w:bCs/>
          <w:caps w:val="0"/>
          <w:sz w:val="52"/>
          <w:szCs w:val="52"/>
          <w14:shadow w14:blurRad="50800" w14:dist="38100" w14:dir="2700000" w14:sx="100000" w14:sy="100000" w14:kx="0" w14:ky="0" w14:algn="tl">
            <w14:srgbClr w14:val="000000">
              <w14:alpha w14:val="60000"/>
            </w14:srgbClr>
          </w14:shadow>
        </w:rPr>
        <w:t>（上市培育板（中泰创新培育板））</w:t>
      </w:r>
    </w:p>
    <w:p>
      <w:pPr>
        <w:pStyle w:val="21"/>
        <w:rPr>
          <w:rStyle w:val="32"/>
          <w:rFonts w:hint="eastAsia" w:ascii="Times New Roman" w:hAnsi="Times New Roman"/>
          <w:caps w:val="0"/>
          <w:sz w:val="24"/>
          <w:szCs w:val="24"/>
        </w:rPr>
      </w:pPr>
    </w:p>
    <w:p>
      <w:pPr>
        <w:pStyle w:val="21"/>
        <w:rPr>
          <w:rStyle w:val="32"/>
          <w:rFonts w:hint="eastAsia" w:ascii="Times New Roman" w:hAnsi="Times New Roman"/>
          <w:caps w:val="0"/>
          <w:sz w:val="24"/>
          <w:szCs w:val="24"/>
        </w:rPr>
      </w:pPr>
    </w:p>
    <w:p>
      <w:pPr>
        <w:pStyle w:val="21"/>
        <w:rPr>
          <w:rStyle w:val="32"/>
          <w:rFonts w:hint="eastAsia" w:ascii="Times New Roman" w:hAnsi="Times New Roman"/>
          <w:caps w:val="0"/>
          <w:sz w:val="24"/>
          <w:szCs w:val="24"/>
        </w:rPr>
      </w:pPr>
    </w:p>
    <w:p>
      <w:pPr>
        <w:pStyle w:val="21"/>
        <w:rPr>
          <w:rStyle w:val="32"/>
          <w:rFonts w:hint="eastAsia" w:ascii="Times New Roman" w:hAnsi="Times New Roman"/>
          <w:caps w:val="0"/>
          <w:sz w:val="24"/>
          <w:szCs w:val="24"/>
        </w:rPr>
      </w:pPr>
    </w:p>
    <w:p>
      <w:pPr>
        <w:ind w:firstLine="480"/>
        <w:rPr>
          <w:rFonts w:hint="eastAsia" w:ascii="Times New Roman" w:hAnsi="Times New Roman"/>
          <w:caps w:val="0"/>
        </w:rPr>
      </w:pPr>
    </w:p>
    <w:p>
      <w:pPr>
        <w:ind w:firstLine="480"/>
        <w:rPr>
          <w:rFonts w:hint="eastAsia" w:ascii="Times New Roman" w:hAnsi="Times New Roman"/>
          <w:caps w:val="0"/>
        </w:rPr>
      </w:pPr>
    </w:p>
    <w:p>
      <w:pPr>
        <w:spacing w:line="360" w:lineRule="auto"/>
        <w:ind w:firstLine="0" w:firstLineChars="0"/>
        <w:jc w:val="center"/>
        <w:rPr>
          <w:rFonts w:hint="eastAsia" w:ascii="Times New Roman" w:hAnsi="Times New Roman" w:eastAsia="宋体"/>
          <w:b/>
          <w:caps w:val="0"/>
          <w:sz w:val="36"/>
          <w:szCs w:val="36"/>
          <w:lang w:eastAsia="zh-CN"/>
        </w:rPr>
      </w:pPr>
      <w:r>
        <w:rPr>
          <w:rFonts w:hint="eastAsia" w:ascii="Times New Roman" w:hAnsi="Times New Roman"/>
          <w:b/>
          <w:caps w:val="0"/>
          <w:sz w:val="36"/>
          <w:szCs w:val="36"/>
        </w:rPr>
        <w:t xml:space="preserve">   </w:t>
      </w:r>
      <w:r>
        <w:rPr>
          <w:rFonts w:hint="eastAsia" w:ascii="Times New Roman" w:hAnsi="Times New Roman"/>
          <w:b/>
          <w:caps w:val="0"/>
          <w:sz w:val="36"/>
          <w:szCs w:val="36"/>
          <w:lang w:val="en-US" w:eastAsia="zh-CN"/>
        </w:rPr>
        <w:t xml:space="preserve"> </w:t>
      </w:r>
      <w:r>
        <w:rPr>
          <w:rFonts w:hint="eastAsia" w:ascii="Times New Roman" w:hAnsi="Times New Roman"/>
          <w:b/>
          <w:caps w:val="0"/>
          <w:sz w:val="36"/>
          <w:szCs w:val="36"/>
        </w:rPr>
        <w:t>公司名称：</w:t>
      </w:r>
      <w:r>
        <w:rPr>
          <w:rFonts w:hint="eastAsia"/>
          <w:b/>
          <w:caps w:val="0"/>
          <w:sz w:val="36"/>
          <w:szCs w:val="36"/>
          <w:lang w:eastAsia="zh-CN"/>
        </w:rPr>
        <w:t xml:space="preserve">山东兴恒环境科技集团有限公司     </w:t>
      </w:r>
    </w:p>
    <w:p>
      <w:pPr>
        <w:spacing w:line="360" w:lineRule="auto"/>
        <w:ind w:firstLine="1456" w:firstLineChars="403"/>
        <w:rPr>
          <w:rFonts w:hint="eastAsia" w:ascii="Times New Roman" w:hAnsi="Times New Roman"/>
          <w:b/>
          <w:caps w:val="0"/>
          <w:sz w:val="36"/>
          <w:szCs w:val="36"/>
        </w:rPr>
      </w:pPr>
      <w:r>
        <w:rPr>
          <w:rFonts w:hint="eastAsia" w:ascii="Times New Roman" w:hAnsi="Times New Roman"/>
          <w:b/>
          <w:caps w:val="0"/>
          <w:sz w:val="36"/>
          <w:szCs w:val="36"/>
        </w:rPr>
        <w:t>推荐机构：中泰证券股份有限公司</w:t>
      </w:r>
    </w:p>
    <w:p>
      <w:pPr>
        <w:spacing w:line="360" w:lineRule="auto"/>
        <w:ind w:firstLine="1428" w:firstLineChars="395"/>
        <w:rPr>
          <w:rFonts w:hint="eastAsia" w:ascii="Times New Roman" w:hAnsi="Times New Roman"/>
          <w:b/>
          <w:caps w:val="0"/>
          <w:sz w:val="36"/>
          <w:szCs w:val="36"/>
        </w:rPr>
      </w:pPr>
      <w:r>
        <w:rPr>
          <w:rFonts w:hint="eastAsia" w:ascii="Times New Roman" w:hAnsi="Times New Roman"/>
          <w:b/>
          <w:caps w:val="0"/>
          <w:sz w:val="36"/>
          <w:szCs w:val="36"/>
        </w:rPr>
        <w:t>日    期： 20</w:t>
      </w:r>
      <w:r>
        <w:rPr>
          <w:rFonts w:hint="eastAsia"/>
          <w:b/>
          <w:caps w:val="0"/>
          <w:sz w:val="36"/>
          <w:szCs w:val="36"/>
          <w:lang w:val="en-US" w:eastAsia="zh-CN"/>
        </w:rPr>
        <w:t>22</w:t>
      </w:r>
      <w:r>
        <w:rPr>
          <w:rFonts w:hint="eastAsia" w:ascii="Times New Roman" w:hAnsi="Times New Roman"/>
          <w:b/>
          <w:caps w:val="0"/>
          <w:sz w:val="36"/>
          <w:szCs w:val="36"/>
        </w:rPr>
        <w:t>年</w:t>
      </w:r>
      <w:r>
        <w:rPr>
          <w:rFonts w:hint="eastAsia"/>
          <w:b/>
          <w:caps w:val="0"/>
          <w:sz w:val="36"/>
          <w:szCs w:val="36"/>
          <w:lang w:val="en-US" w:eastAsia="zh-CN"/>
        </w:rPr>
        <w:t xml:space="preserve"> 5 </w:t>
      </w:r>
      <w:r>
        <w:rPr>
          <w:rFonts w:hint="eastAsia" w:ascii="Times New Roman" w:hAnsi="Times New Roman"/>
          <w:b/>
          <w:caps w:val="0"/>
          <w:sz w:val="36"/>
          <w:szCs w:val="36"/>
        </w:rPr>
        <w:t>月</w:t>
      </w:r>
      <w:r>
        <w:rPr>
          <w:rFonts w:hint="eastAsia"/>
          <w:b/>
          <w:caps w:val="0"/>
          <w:sz w:val="36"/>
          <w:szCs w:val="36"/>
          <w:lang w:val="en-US" w:eastAsia="zh-CN"/>
        </w:rPr>
        <w:t xml:space="preserve"> 19 </w:t>
      </w:r>
      <w:r>
        <w:rPr>
          <w:rFonts w:hint="eastAsia" w:ascii="Times New Roman" w:hAnsi="Times New Roman"/>
          <w:b/>
          <w:caps w:val="0"/>
          <w:sz w:val="36"/>
          <w:szCs w:val="36"/>
        </w:rPr>
        <w:t>日</w:t>
      </w:r>
    </w:p>
    <w:p>
      <w:pPr>
        <w:pStyle w:val="21"/>
        <w:rPr>
          <w:rStyle w:val="32"/>
          <w:rFonts w:hint="eastAsia" w:ascii="Times New Roman" w:hAnsi="Times New Roman"/>
          <w:caps w:val="0"/>
          <w:sz w:val="24"/>
          <w:szCs w:val="24"/>
        </w:rPr>
      </w:pPr>
    </w:p>
    <w:p>
      <w:pPr>
        <w:ind w:firstLine="0" w:firstLineChars="0"/>
        <w:jc w:val="center"/>
        <w:rPr>
          <w:rFonts w:hint="eastAsia" w:ascii="Times New Roman" w:hAnsi="Times New Roman"/>
          <w:b/>
          <w:caps w:val="0"/>
          <w:sz w:val="30"/>
          <w:szCs w:val="30"/>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bookmarkStart w:id="1" w:name="_Toc236206506"/>
    </w:p>
    <w:p>
      <w:pPr>
        <w:ind w:firstLine="0" w:firstLineChars="0"/>
        <w:jc w:val="center"/>
        <w:rPr>
          <w:rFonts w:hint="eastAsia" w:ascii="Times New Roman" w:hAnsi="Times New Roman" w:eastAsia="宋体"/>
          <w:b/>
          <w:caps w:val="0"/>
          <w:sz w:val="30"/>
          <w:szCs w:val="30"/>
          <w:lang w:eastAsia="zh-CN"/>
        </w:rPr>
      </w:pPr>
      <w:r>
        <w:rPr>
          <w:rFonts w:hint="eastAsia"/>
          <w:b/>
          <w:caps w:val="0"/>
          <w:sz w:val="30"/>
          <w:szCs w:val="30"/>
          <w:lang w:eastAsia="zh-CN"/>
        </w:rPr>
        <w:t xml:space="preserve">山东兴恒环境科技集团有限公司     </w:t>
      </w:r>
      <w:r>
        <w:rPr>
          <w:rFonts w:hint="eastAsia" w:ascii="Times New Roman" w:hAnsi="Times New Roman"/>
          <w:b/>
          <w:caps w:val="0"/>
          <w:sz w:val="30"/>
          <w:szCs w:val="30"/>
        </w:rPr>
        <w:t>挂牌转让说明书</w:t>
      </w:r>
      <w:r>
        <w:rPr>
          <w:rFonts w:hint="eastAsia" w:ascii="Times New Roman" w:hAnsi="Times New Roman"/>
          <w:b/>
          <w:caps w:val="0"/>
          <w:sz w:val="30"/>
          <w:szCs w:val="30"/>
          <w:lang w:eastAsia="zh-CN"/>
        </w:rPr>
        <w:t>摘要</w:t>
      </w:r>
    </w:p>
    <w:p>
      <w:pPr>
        <w:ind w:firstLine="0" w:firstLineChars="0"/>
        <w:jc w:val="center"/>
        <w:rPr>
          <w:rFonts w:hint="eastAsia" w:ascii="Times New Roman" w:hAnsi="Times New Roman"/>
          <w:b/>
          <w:caps w:val="0"/>
          <w:sz w:val="30"/>
          <w:szCs w:val="30"/>
        </w:rPr>
      </w:pPr>
      <w:r>
        <w:rPr>
          <w:rFonts w:hint="eastAsia" w:ascii="Times New Roman" w:hAnsi="Times New Roman"/>
          <w:b/>
          <w:caps w:val="0"/>
          <w:sz w:val="30"/>
          <w:szCs w:val="30"/>
        </w:rPr>
        <w:t>（申请板块：上市培育板（中泰创新培育板））</w:t>
      </w:r>
    </w:p>
    <w:p>
      <w:pPr>
        <w:ind w:firstLine="0" w:firstLineChars="0"/>
        <w:jc w:val="center"/>
        <w:rPr>
          <w:rFonts w:hint="eastAsia" w:ascii="Times New Roman" w:hAnsi="Times New Roman"/>
          <w:b/>
          <w:caps w:val="0"/>
          <w:sz w:val="30"/>
          <w:szCs w:val="30"/>
        </w:rPr>
      </w:pPr>
    </w:p>
    <w:p>
      <w:pPr>
        <w:adjustRightInd/>
        <w:snapToGrid/>
        <w:spacing w:line="240" w:lineRule="auto"/>
        <w:ind w:firstLine="0" w:firstLineChars="0"/>
        <w:jc w:val="center"/>
        <w:rPr>
          <w:rFonts w:hint="eastAsia" w:ascii="Times New Roman" w:hAnsi="Times New Roman" w:eastAsia="仿宋" w:cs="仿宋"/>
          <w:b/>
          <w:bCs/>
          <w:caps w:val="0"/>
          <w:color w:val="auto"/>
          <w:sz w:val="32"/>
          <w:szCs w:val="32"/>
          <w:highlight w:val="none"/>
        </w:rPr>
      </w:pPr>
      <w:r>
        <w:rPr>
          <w:rFonts w:hint="eastAsia" w:ascii="Times New Roman" w:hAnsi="Times New Roman" w:eastAsia="仿宋" w:cs="仿宋"/>
          <w:b/>
          <w:bCs/>
          <w:caps w:val="0"/>
          <w:color w:val="auto"/>
          <w:sz w:val="32"/>
          <w:szCs w:val="32"/>
          <w:highlight w:val="none"/>
        </w:rPr>
        <w:t>声 明</w:t>
      </w:r>
    </w:p>
    <w:p>
      <w:pPr>
        <w:ind w:firstLine="0" w:firstLineChars="0"/>
        <w:jc w:val="center"/>
        <w:rPr>
          <w:rFonts w:hint="eastAsia" w:ascii="Times New Roman" w:hAnsi="Times New Roman"/>
          <w:b/>
          <w:caps w:val="0"/>
          <w:sz w:val="30"/>
          <w:szCs w:val="30"/>
        </w:rPr>
      </w:pPr>
    </w:p>
    <w:p>
      <w:pPr>
        <w:adjustRightInd/>
        <w:snapToGrid/>
        <w:spacing w:line="240" w:lineRule="auto"/>
        <w:ind w:firstLine="640" w:firstLineChars="200"/>
        <w:rPr>
          <w:rFonts w:hint="eastAsia" w:ascii="Times New Roman" w:hAnsi="Times New Roman" w:eastAsia="仿宋" w:cs="仿宋"/>
          <w:caps w:val="0"/>
          <w:color w:val="auto"/>
          <w:sz w:val="32"/>
          <w:szCs w:val="32"/>
          <w:highlight w:val="none"/>
        </w:rPr>
      </w:pPr>
      <w:r>
        <w:rPr>
          <w:rFonts w:hint="eastAsia" w:ascii="Times New Roman" w:hAnsi="Times New Roman" w:eastAsia="仿宋" w:cs="仿宋"/>
          <w:caps w:val="0"/>
          <w:color w:val="auto"/>
          <w:sz w:val="32"/>
          <w:szCs w:val="32"/>
          <w:highlight w:val="none"/>
        </w:rPr>
        <w:t>本公司及全体董事、监事、高级管理人员承诺挂牌说明书不存在虚假记载、误导性陈述或重大遗漏，并对其真实性、准确性、完整性承担个别和连带的法律责任。</w:t>
      </w:r>
    </w:p>
    <w:p>
      <w:pPr>
        <w:adjustRightInd/>
        <w:snapToGrid/>
        <w:spacing w:line="240" w:lineRule="auto"/>
        <w:ind w:firstLine="640" w:firstLineChars="200"/>
        <w:rPr>
          <w:rFonts w:hint="eastAsia" w:ascii="Times New Roman" w:hAnsi="Times New Roman" w:eastAsia="仿宋" w:cs="仿宋"/>
          <w:caps w:val="0"/>
          <w:color w:val="auto"/>
          <w:sz w:val="32"/>
          <w:szCs w:val="32"/>
          <w:highlight w:val="none"/>
        </w:rPr>
      </w:pPr>
      <w:r>
        <w:rPr>
          <w:rFonts w:hint="eastAsia" w:ascii="Times New Roman" w:hAnsi="Times New Roman" w:eastAsia="仿宋" w:cs="仿宋"/>
          <w:caps w:val="0"/>
          <w:color w:val="auto"/>
          <w:sz w:val="32"/>
          <w:szCs w:val="32"/>
          <w:highlight w:val="none"/>
        </w:rPr>
        <w:t>本公司提醒投资者注意，凡本挂牌转让说明书未涉及的有关内容，请投资者直接或通过齐鲁股权交易中心有限公司向本公司查询。</w:t>
      </w:r>
    </w:p>
    <w:p>
      <w:pPr>
        <w:adjustRightInd/>
        <w:snapToGrid/>
        <w:spacing w:line="240" w:lineRule="auto"/>
        <w:ind w:firstLine="640" w:firstLineChars="200"/>
        <w:rPr>
          <w:rFonts w:hint="eastAsia" w:ascii="Times New Roman" w:hAnsi="Times New Roman" w:eastAsia="仿宋" w:cs="仿宋"/>
          <w:caps w:val="0"/>
          <w:color w:val="auto"/>
          <w:sz w:val="32"/>
          <w:szCs w:val="32"/>
          <w:highlight w:val="none"/>
        </w:rPr>
        <w:sectPr>
          <w:footerReference r:id="rId9" w:type="default"/>
          <w:pgSz w:w="11906" w:h="16838"/>
          <w:pgMar w:top="1440" w:right="1800" w:bottom="1440" w:left="1800" w:header="851" w:footer="992" w:gutter="0"/>
          <w:cols w:space="720" w:num="1"/>
          <w:docGrid w:type="lines" w:linePitch="312" w:charSpace="0"/>
        </w:sectPr>
      </w:pPr>
      <w:r>
        <w:rPr>
          <w:rFonts w:hint="eastAsia" w:ascii="Times New Roman" w:hAnsi="Times New Roman" w:eastAsia="仿宋" w:cs="仿宋"/>
          <w:caps w:val="0"/>
          <w:color w:val="auto"/>
          <w:sz w:val="32"/>
          <w:szCs w:val="32"/>
          <w:highlight w:val="none"/>
        </w:rPr>
        <w:t>齐鲁股权交易中心有限公司对本次挂牌所做的任何决定或意见，均不表明其对本公司股票的价值或投资者收益作出实质性判断或保证。任何与之相反的声明均属虚假不实陈述。本公司经营与收益的变化，由本公司自行负责，由此引致的投资风险，由投资者自行承担。</w:t>
      </w:r>
    </w:p>
    <w:p>
      <w:pPr>
        <w:spacing w:line="360" w:lineRule="auto"/>
        <w:ind w:firstLine="0" w:firstLineChars="0"/>
        <w:jc w:val="center"/>
        <w:rPr>
          <w:rFonts w:hint="eastAsia" w:ascii="Times New Roman" w:hAnsi="Times New Roman" w:eastAsia="仿宋" w:cs="仿宋"/>
          <w:caps w:val="0"/>
          <w:color w:val="auto"/>
          <w:sz w:val="32"/>
          <w:szCs w:val="32"/>
          <w:highlight w:val="none"/>
        </w:rPr>
        <w:sectPr>
          <w:type w:val="continuous"/>
          <w:pgSz w:w="11906" w:h="16838"/>
          <w:pgMar w:top="1440" w:right="1800" w:bottom="1440" w:left="1800" w:header="851" w:footer="992" w:gutter="0"/>
          <w:cols w:space="720" w:num="1"/>
          <w:docGrid w:type="lines" w:linePitch="312" w:charSpace="0"/>
        </w:sectPr>
      </w:pPr>
    </w:p>
    <w:p>
      <w:pPr>
        <w:spacing w:line="360" w:lineRule="auto"/>
        <w:ind w:firstLine="0" w:firstLineChars="0"/>
        <w:jc w:val="center"/>
        <w:rPr>
          <w:rFonts w:hint="eastAsia" w:ascii="Times New Roman" w:hAnsi="Times New Roman"/>
          <w:b/>
          <w:bCs w:val="0"/>
          <w:caps w:val="0"/>
          <w:sz w:val="32"/>
          <w:szCs w:val="32"/>
        </w:rPr>
      </w:pPr>
      <w:r>
        <w:rPr>
          <w:rFonts w:ascii="Times New Roman" w:hAnsi="Times New Roman"/>
          <w:b/>
          <w:bCs w:val="0"/>
          <w:caps w:val="0"/>
          <w:sz w:val="32"/>
          <w:szCs w:val="32"/>
        </w:rPr>
        <w:t>目</w:t>
      </w:r>
      <w:r>
        <w:rPr>
          <w:rFonts w:hint="eastAsia" w:ascii="Times New Roman" w:hAnsi="Times New Roman"/>
          <w:b/>
          <w:bCs w:val="0"/>
          <w:caps w:val="0"/>
          <w:sz w:val="32"/>
          <w:szCs w:val="32"/>
        </w:rPr>
        <w:t xml:space="preserve">　 　 </w:t>
      </w:r>
      <w:r>
        <w:rPr>
          <w:rFonts w:ascii="Times New Roman" w:hAnsi="Times New Roman"/>
          <w:b/>
          <w:bCs w:val="0"/>
          <w:caps w:val="0"/>
          <w:sz w:val="32"/>
          <w:szCs w:val="32"/>
        </w:rPr>
        <w:t>录</w:t>
      </w:r>
    </w:p>
    <w:p>
      <w:pPr>
        <w:pStyle w:val="16"/>
        <w:tabs>
          <w:tab w:val="right" w:leader="dot" w:pos="8306"/>
          <w:tab w:val="clear" w:pos="8302"/>
        </w:tabs>
        <w:rPr>
          <w:rFonts w:hint="eastAsia" w:ascii="宋体" w:hAnsi="宋体" w:eastAsia="宋体" w:cs="宋体"/>
          <w:sz w:val="24"/>
          <w:szCs w:val="24"/>
        </w:rPr>
      </w:pPr>
      <w:bookmarkStart w:id="2" w:name="_Toc346286099"/>
      <w:bookmarkStart w:id="3" w:name="_Toc347754966"/>
      <w:bookmarkStart w:id="4" w:name="_Toc245701649"/>
      <w:bookmarkStart w:id="5" w:name="_Toc346092685"/>
      <w:bookmarkStart w:id="6" w:name="_Toc342567463"/>
      <w:bookmarkStart w:id="7" w:name="_Toc347823151"/>
      <w:bookmarkStart w:id="8" w:name="_Toc317756535"/>
      <w:r>
        <w:rPr>
          <w:rFonts w:hint="eastAsia" w:ascii="宋体" w:hAnsi="宋体" w:eastAsia="宋体" w:cs="宋体"/>
          <w:b/>
          <w:bCs w:val="0"/>
          <w:caps w:val="0"/>
          <w:kern w:val="2"/>
          <w:sz w:val="24"/>
          <w:szCs w:val="24"/>
        </w:rPr>
        <w:fldChar w:fldCharType="begin"/>
      </w:r>
      <w:r>
        <w:rPr>
          <w:rFonts w:hint="eastAsia" w:ascii="宋体" w:hAnsi="宋体" w:eastAsia="宋体" w:cs="宋体"/>
          <w:b/>
          <w:bCs w:val="0"/>
          <w:caps w:val="0"/>
          <w:kern w:val="2"/>
          <w:sz w:val="24"/>
          <w:szCs w:val="24"/>
        </w:rPr>
        <w:instrText xml:space="preserve"> TOC \o "1-3" \h \z \u </w:instrText>
      </w:r>
      <w:r>
        <w:rPr>
          <w:rFonts w:hint="eastAsia" w:ascii="宋体" w:hAnsi="宋体" w:eastAsia="宋体" w:cs="宋体"/>
          <w:b/>
          <w:bCs w:val="0"/>
          <w:caps w:val="0"/>
          <w:kern w:val="2"/>
          <w:sz w:val="24"/>
          <w:szCs w:val="24"/>
        </w:rPr>
        <w:fldChar w:fldCharType="separate"/>
      </w:r>
      <w:r>
        <w:rPr>
          <w:rFonts w:hint="eastAsia" w:ascii="宋体" w:hAnsi="宋体" w:eastAsia="宋体" w:cs="宋体"/>
          <w:bCs w:val="0"/>
          <w:caps w:val="0"/>
          <w:kern w:val="2"/>
          <w:sz w:val="24"/>
          <w:szCs w:val="24"/>
        </w:rPr>
        <w:fldChar w:fldCharType="begin"/>
      </w:r>
      <w:r>
        <w:rPr>
          <w:rFonts w:hint="eastAsia" w:ascii="宋体" w:hAnsi="宋体" w:eastAsia="宋体" w:cs="宋体"/>
          <w:bCs w:val="0"/>
          <w:caps w:val="0"/>
          <w:kern w:val="2"/>
          <w:sz w:val="24"/>
          <w:szCs w:val="24"/>
        </w:rPr>
        <w:instrText xml:space="preserve"> HYPERLINK \l _Toc30083 </w:instrText>
      </w:r>
      <w:r>
        <w:rPr>
          <w:rFonts w:hint="eastAsia" w:ascii="宋体" w:hAnsi="宋体" w:eastAsia="宋体" w:cs="宋体"/>
          <w:bCs w:val="0"/>
          <w:caps w:val="0"/>
          <w:kern w:val="2"/>
          <w:sz w:val="24"/>
          <w:szCs w:val="24"/>
        </w:rPr>
        <w:fldChar w:fldCharType="separate"/>
      </w:r>
      <w:r>
        <w:rPr>
          <w:rFonts w:hint="eastAsia" w:ascii="宋体" w:hAnsi="宋体" w:eastAsia="宋体" w:cs="宋体"/>
          <w:caps w:val="0"/>
          <w:sz w:val="24"/>
          <w:szCs w:val="24"/>
        </w:rPr>
        <w:t>第一章   重大风险及重大事项提示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_Toc30083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val="0"/>
          <w:caps w:val="0"/>
          <w:kern w:val="2"/>
          <w:sz w:val="24"/>
          <w:szCs w:val="24"/>
        </w:rPr>
        <w:fldChar w:fldCharType="end"/>
      </w:r>
    </w:p>
    <w:p>
      <w:pPr>
        <w:pStyle w:val="21"/>
        <w:tabs>
          <w:tab w:val="right" w:leader="dot" w:pos="8306"/>
        </w:tabs>
        <w:rPr>
          <w:rFonts w:hint="eastAsia" w:ascii="宋体" w:hAnsi="宋体" w:eastAsia="宋体" w:cs="宋体"/>
          <w:b w:val="0"/>
          <w:bCs/>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_Toc32391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rPr>
        <w:t>一、重大风险</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_Toc32391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21"/>
        <w:tabs>
          <w:tab w:val="right" w:leader="dot" w:pos="8306"/>
        </w:tabs>
        <w:rPr>
          <w:rFonts w:hint="eastAsia" w:ascii="宋体" w:hAnsi="宋体" w:eastAsia="宋体" w:cs="宋体"/>
          <w:b w:val="0"/>
          <w:bCs/>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_Toc30596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rPr>
        <w:t>二、重大事项提示</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_Toc30596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16"/>
        <w:tabs>
          <w:tab w:val="right" w:leader="dot" w:pos="8306"/>
          <w:tab w:val="clear" w:pos="8302"/>
        </w:tabs>
        <w:rPr>
          <w:rFonts w:hint="eastAsia" w:ascii="宋体" w:hAnsi="宋体" w:eastAsia="宋体" w:cs="宋体"/>
          <w:sz w:val="24"/>
          <w:szCs w:val="24"/>
        </w:rPr>
      </w:pPr>
      <w:r>
        <w:rPr>
          <w:rFonts w:hint="eastAsia" w:ascii="宋体" w:hAnsi="宋体" w:eastAsia="宋体" w:cs="宋体"/>
          <w:bCs w:val="0"/>
          <w:caps w:val="0"/>
          <w:kern w:val="2"/>
          <w:sz w:val="24"/>
          <w:szCs w:val="24"/>
          <w:lang w:val="en-US" w:eastAsia="zh-CN" w:bidi="ar-SA"/>
        </w:rPr>
        <w:fldChar w:fldCharType="begin"/>
      </w:r>
      <w:r>
        <w:rPr>
          <w:rFonts w:hint="eastAsia" w:ascii="宋体" w:hAnsi="宋体" w:eastAsia="宋体" w:cs="宋体"/>
          <w:bCs w:val="0"/>
          <w:caps w:val="0"/>
          <w:kern w:val="2"/>
          <w:sz w:val="24"/>
          <w:szCs w:val="24"/>
          <w:lang w:val="en-US" w:eastAsia="zh-CN" w:bidi="ar-SA"/>
        </w:rPr>
        <w:instrText xml:space="preserve"> HYPERLINK \l _Toc30117 </w:instrText>
      </w:r>
      <w:r>
        <w:rPr>
          <w:rFonts w:hint="eastAsia" w:ascii="宋体" w:hAnsi="宋体" w:eastAsia="宋体" w:cs="宋体"/>
          <w:bCs w:val="0"/>
          <w:caps w:val="0"/>
          <w:kern w:val="2"/>
          <w:sz w:val="24"/>
          <w:szCs w:val="24"/>
          <w:lang w:val="en-US" w:eastAsia="zh-CN" w:bidi="ar-SA"/>
        </w:rPr>
        <w:fldChar w:fldCharType="separate"/>
      </w:r>
      <w:r>
        <w:rPr>
          <w:rFonts w:hint="eastAsia" w:ascii="宋体" w:hAnsi="宋体" w:eastAsia="宋体" w:cs="宋体"/>
          <w:caps w:val="0"/>
          <w:sz w:val="24"/>
          <w:szCs w:val="24"/>
        </w:rPr>
        <w:t>第二章   基本情况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_Toc30117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val="0"/>
          <w:caps w:val="0"/>
          <w:kern w:val="2"/>
          <w:sz w:val="24"/>
          <w:szCs w:val="24"/>
          <w:lang w:val="en-US" w:eastAsia="zh-CN" w:bidi="ar-SA"/>
        </w:rPr>
        <w:fldChar w:fldCharType="end"/>
      </w:r>
    </w:p>
    <w:p>
      <w:pPr>
        <w:pStyle w:val="21"/>
        <w:tabs>
          <w:tab w:val="right" w:leader="dot" w:pos="8306"/>
        </w:tabs>
        <w:rPr>
          <w:rFonts w:hint="eastAsia" w:ascii="宋体" w:hAnsi="宋体" w:eastAsia="宋体" w:cs="宋体"/>
          <w:b w:val="0"/>
          <w:bCs/>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_Toc4197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rPr>
        <w:t>一、挂牌公司基本情况</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_Toc4197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4</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21"/>
        <w:tabs>
          <w:tab w:val="right" w:leader="dot" w:pos="8306"/>
        </w:tabs>
        <w:rPr>
          <w:rFonts w:hint="eastAsia" w:ascii="宋体" w:hAnsi="宋体" w:eastAsia="宋体" w:cs="宋体"/>
          <w:b w:val="0"/>
          <w:bCs/>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_Toc20329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rPr>
        <w:t>二、公司</w:t>
      </w:r>
      <w:r>
        <w:rPr>
          <w:rFonts w:hint="eastAsia" w:ascii="宋体" w:hAnsi="宋体" w:eastAsia="宋体" w:cs="宋体"/>
          <w:b w:val="0"/>
          <w:bCs/>
          <w:caps w:val="0"/>
          <w:sz w:val="24"/>
          <w:szCs w:val="24"/>
          <w:lang w:eastAsia="zh-CN"/>
        </w:rPr>
        <w:t>目前</w:t>
      </w:r>
      <w:r>
        <w:rPr>
          <w:rFonts w:hint="eastAsia" w:ascii="宋体" w:hAnsi="宋体" w:eastAsia="宋体" w:cs="宋体"/>
          <w:b w:val="0"/>
          <w:bCs/>
          <w:caps w:val="0"/>
          <w:sz w:val="24"/>
          <w:szCs w:val="24"/>
        </w:rPr>
        <w:t>股权结构</w:t>
      </w:r>
      <w:r>
        <w:rPr>
          <w:rFonts w:hint="eastAsia" w:ascii="宋体" w:hAnsi="宋体" w:eastAsia="宋体" w:cs="宋体"/>
          <w:b w:val="0"/>
          <w:bCs/>
          <w:caps w:val="0"/>
          <w:sz w:val="24"/>
          <w:szCs w:val="24"/>
          <w:lang w:eastAsia="zh-CN"/>
        </w:rPr>
        <w:t>及股东情况</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_Toc20329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4</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21"/>
        <w:tabs>
          <w:tab w:val="right" w:leader="dot" w:pos="8306"/>
        </w:tabs>
        <w:rPr>
          <w:rFonts w:hint="eastAsia" w:ascii="宋体" w:hAnsi="宋体" w:eastAsia="宋体" w:cs="宋体"/>
          <w:b w:val="0"/>
          <w:bCs/>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_Toc14465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lang w:eastAsia="zh-CN"/>
        </w:rPr>
        <w:t>三、</w:t>
      </w:r>
      <w:r>
        <w:rPr>
          <w:rFonts w:hint="eastAsia" w:ascii="宋体" w:hAnsi="宋体" w:eastAsia="宋体" w:cs="宋体"/>
          <w:b w:val="0"/>
          <w:bCs/>
          <w:caps w:val="0"/>
          <w:sz w:val="24"/>
          <w:szCs w:val="24"/>
        </w:rPr>
        <w:t>公司组织结构</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_Toc14465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6</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21"/>
        <w:tabs>
          <w:tab w:val="right" w:leader="dot" w:pos="8306"/>
        </w:tabs>
        <w:rPr>
          <w:rFonts w:hint="eastAsia" w:ascii="宋体" w:hAnsi="宋体" w:eastAsia="宋体" w:cs="宋体"/>
          <w:b w:val="0"/>
          <w:bCs/>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_Toc20223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rPr>
        <w:t>四、公司主营业务情况</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_Toc20223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6</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21"/>
        <w:tabs>
          <w:tab w:val="right" w:leader="dot" w:pos="8306"/>
        </w:tabs>
        <w:rPr>
          <w:rFonts w:hint="eastAsia" w:ascii="宋体" w:hAnsi="宋体" w:eastAsia="宋体" w:cs="宋体"/>
          <w:b w:val="0"/>
          <w:bCs/>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_Toc2467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lang w:val="en-US" w:eastAsia="zh-CN"/>
        </w:rPr>
        <w:t>五、公司财务报表简表</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_Toc2467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8</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21"/>
        <w:tabs>
          <w:tab w:val="right" w:leader="dot" w:pos="8306"/>
        </w:tabs>
        <w:rPr>
          <w:rFonts w:hint="eastAsia" w:ascii="宋体" w:hAnsi="宋体" w:eastAsia="宋体" w:cs="宋体"/>
          <w:b w:val="0"/>
          <w:bCs/>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_Toc17677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rPr>
        <w:t>六、公司</w:t>
      </w:r>
      <w:r>
        <w:rPr>
          <w:rFonts w:hint="eastAsia" w:ascii="宋体" w:hAnsi="宋体" w:eastAsia="宋体" w:cs="宋体"/>
          <w:b w:val="0"/>
          <w:bCs/>
          <w:caps w:val="0"/>
          <w:sz w:val="24"/>
          <w:szCs w:val="24"/>
          <w:lang w:eastAsia="zh-CN"/>
        </w:rPr>
        <w:t>经营目标及计划</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_Toc17677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14</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16"/>
        <w:tabs>
          <w:tab w:val="right" w:leader="dot" w:pos="8306"/>
          <w:tab w:val="clear" w:pos="8302"/>
        </w:tabs>
        <w:rPr>
          <w:rFonts w:hint="eastAsia" w:ascii="宋体" w:hAnsi="宋体" w:eastAsia="宋体" w:cs="宋体"/>
          <w:sz w:val="24"/>
          <w:szCs w:val="24"/>
        </w:rPr>
      </w:pPr>
      <w:r>
        <w:rPr>
          <w:rFonts w:hint="eastAsia" w:ascii="宋体" w:hAnsi="宋体" w:eastAsia="宋体" w:cs="宋体"/>
          <w:bCs w:val="0"/>
          <w:caps w:val="0"/>
          <w:kern w:val="2"/>
          <w:sz w:val="24"/>
          <w:szCs w:val="24"/>
          <w:lang w:val="en-US" w:eastAsia="zh-CN" w:bidi="ar-SA"/>
        </w:rPr>
        <w:fldChar w:fldCharType="begin"/>
      </w:r>
      <w:r>
        <w:rPr>
          <w:rFonts w:hint="eastAsia" w:ascii="宋体" w:hAnsi="宋体" w:eastAsia="宋体" w:cs="宋体"/>
          <w:bCs w:val="0"/>
          <w:caps w:val="0"/>
          <w:kern w:val="2"/>
          <w:sz w:val="24"/>
          <w:szCs w:val="24"/>
          <w:lang w:val="en-US" w:eastAsia="zh-CN" w:bidi="ar-SA"/>
        </w:rPr>
        <w:instrText xml:space="preserve"> HYPERLINK \l _Toc24508 </w:instrText>
      </w:r>
      <w:r>
        <w:rPr>
          <w:rFonts w:hint="eastAsia" w:ascii="宋体" w:hAnsi="宋体" w:eastAsia="宋体" w:cs="宋体"/>
          <w:bCs w:val="0"/>
          <w:caps w:val="0"/>
          <w:kern w:val="2"/>
          <w:sz w:val="24"/>
          <w:szCs w:val="24"/>
          <w:lang w:val="en-US" w:eastAsia="zh-CN" w:bidi="ar-SA"/>
        </w:rPr>
        <w:fldChar w:fldCharType="separate"/>
      </w:r>
      <w:r>
        <w:rPr>
          <w:rFonts w:hint="eastAsia" w:ascii="宋体" w:hAnsi="宋体" w:eastAsia="宋体" w:cs="宋体"/>
          <w:caps w:val="0"/>
          <w:sz w:val="24"/>
          <w:szCs w:val="24"/>
        </w:rPr>
        <w:t>第三</w:t>
      </w:r>
      <w:r>
        <w:rPr>
          <w:rFonts w:hint="eastAsia" w:ascii="宋体" w:hAnsi="宋体" w:eastAsia="宋体" w:cs="宋体"/>
          <w:caps w:val="0"/>
          <w:sz w:val="24"/>
          <w:szCs w:val="24"/>
          <w:lang w:val="en-US" w:eastAsia="zh-CN"/>
        </w:rPr>
        <w:t>章 本次挂牌的有关机构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_Toc24508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val="0"/>
          <w:caps w:val="0"/>
          <w:kern w:val="2"/>
          <w:sz w:val="24"/>
          <w:szCs w:val="24"/>
          <w:lang w:val="en-US" w:eastAsia="zh-CN" w:bidi="ar-SA"/>
        </w:rPr>
        <w:fldChar w:fldCharType="end"/>
      </w:r>
    </w:p>
    <w:p>
      <w:pPr>
        <w:pStyle w:val="21"/>
        <w:tabs>
          <w:tab w:val="right" w:leader="dot" w:pos="8306"/>
        </w:tabs>
        <w:rPr>
          <w:rFonts w:hint="eastAsia" w:ascii="宋体" w:hAnsi="宋体" w:eastAsia="宋体" w:cs="宋体"/>
          <w:b w:val="0"/>
          <w:bCs/>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_Toc15389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lang w:val="en-US" w:eastAsia="zh-CN"/>
        </w:rPr>
        <w:t>一</w:t>
      </w:r>
      <w:r>
        <w:rPr>
          <w:rFonts w:hint="eastAsia" w:ascii="宋体" w:hAnsi="宋体" w:eastAsia="宋体" w:cs="宋体"/>
          <w:b w:val="0"/>
          <w:bCs/>
          <w:caps w:val="0"/>
          <w:sz w:val="24"/>
          <w:szCs w:val="24"/>
        </w:rPr>
        <w:t>、</w:t>
      </w:r>
      <w:r>
        <w:rPr>
          <w:rFonts w:hint="eastAsia" w:ascii="宋体" w:hAnsi="宋体" w:eastAsia="宋体" w:cs="宋体"/>
          <w:b w:val="0"/>
          <w:bCs/>
          <w:caps w:val="0"/>
          <w:sz w:val="24"/>
          <w:szCs w:val="24"/>
          <w:lang w:val="en-US" w:eastAsia="zh-CN"/>
        </w:rPr>
        <w:t>推荐机构</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_Toc15389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17</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21"/>
        <w:tabs>
          <w:tab w:val="right" w:leader="dot" w:pos="8306"/>
        </w:tabs>
        <w:rPr>
          <w:rFonts w:hint="eastAsia" w:ascii="宋体" w:hAnsi="宋体" w:eastAsia="宋体" w:cs="宋体"/>
          <w:sz w:val="24"/>
          <w:szCs w:val="24"/>
        </w:rPr>
      </w:pPr>
      <w:r>
        <w:rPr>
          <w:rFonts w:hint="eastAsia" w:ascii="宋体" w:hAnsi="宋体" w:eastAsia="宋体" w:cs="宋体"/>
          <w:b w:val="0"/>
          <w:bCs/>
          <w:caps w:val="0"/>
          <w:kern w:val="2"/>
          <w:sz w:val="24"/>
          <w:szCs w:val="24"/>
          <w:lang w:val="en-US" w:eastAsia="zh-CN" w:bidi="ar-SA"/>
        </w:rPr>
        <w:fldChar w:fldCharType="begin"/>
      </w:r>
      <w:r>
        <w:rPr>
          <w:rFonts w:hint="eastAsia" w:ascii="宋体" w:hAnsi="宋体" w:eastAsia="宋体" w:cs="宋体"/>
          <w:b w:val="0"/>
          <w:bCs/>
          <w:caps w:val="0"/>
          <w:kern w:val="2"/>
          <w:sz w:val="24"/>
          <w:szCs w:val="24"/>
          <w:lang w:val="en-US" w:eastAsia="zh-CN" w:bidi="ar-SA"/>
        </w:rPr>
        <w:instrText xml:space="preserve"> HYPERLINK \l _Toc3427 </w:instrText>
      </w:r>
      <w:r>
        <w:rPr>
          <w:rFonts w:hint="eastAsia" w:ascii="宋体" w:hAnsi="宋体" w:eastAsia="宋体" w:cs="宋体"/>
          <w:b w:val="0"/>
          <w:bCs/>
          <w:caps w:val="0"/>
          <w:kern w:val="2"/>
          <w:sz w:val="24"/>
          <w:szCs w:val="24"/>
          <w:lang w:val="en-US" w:eastAsia="zh-CN" w:bidi="ar-SA"/>
        </w:rPr>
        <w:fldChar w:fldCharType="separate"/>
      </w:r>
      <w:r>
        <w:rPr>
          <w:rFonts w:hint="eastAsia" w:ascii="宋体" w:hAnsi="宋体" w:eastAsia="宋体" w:cs="宋体"/>
          <w:b w:val="0"/>
          <w:bCs/>
          <w:caps w:val="0"/>
          <w:sz w:val="24"/>
          <w:szCs w:val="24"/>
          <w:lang w:val="en-US" w:eastAsia="zh-CN"/>
        </w:rPr>
        <w:t>三、股权登记托管机构</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_Toc3427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17</w:t>
      </w:r>
      <w:r>
        <w:rPr>
          <w:rFonts w:hint="eastAsia" w:ascii="宋体" w:hAnsi="宋体" w:eastAsia="宋体" w:cs="宋体"/>
          <w:b w:val="0"/>
          <w:bCs/>
          <w:sz w:val="24"/>
          <w:szCs w:val="24"/>
        </w:rPr>
        <w:fldChar w:fldCharType="end"/>
      </w:r>
      <w:r>
        <w:rPr>
          <w:rFonts w:hint="eastAsia" w:ascii="宋体" w:hAnsi="宋体" w:eastAsia="宋体" w:cs="宋体"/>
          <w:b w:val="0"/>
          <w:bCs/>
          <w:caps w:val="0"/>
          <w:kern w:val="2"/>
          <w:sz w:val="24"/>
          <w:szCs w:val="24"/>
          <w:lang w:val="en-US" w:eastAsia="zh-CN" w:bidi="ar-SA"/>
        </w:rPr>
        <w:fldChar w:fldCharType="end"/>
      </w:r>
    </w:p>
    <w:p>
      <w:pPr>
        <w:pStyle w:val="21"/>
        <w:tabs>
          <w:tab w:val="right" w:leader="dot" w:pos="8312"/>
        </w:tabs>
        <w:rPr>
          <w:rFonts w:hint="eastAsia" w:ascii="宋体" w:hAnsi="宋体" w:eastAsia="宋体" w:cs="宋体"/>
          <w:b w:val="0"/>
          <w:caps w:val="0"/>
          <w:sz w:val="24"/>
          <w:szCs w:val="24"/>
        </w:rPr>
      </w:pPr>
      <w:r>
        <w:rPr>
          <w:rFonts w:hint="eastAsia" w:ascii="宋体" w:hAnsi="宋体" w:eastAsia="宋体" w:cs="宋体"/>
          <w:bCs w:val="0"/>
          <w:caps w:val="0"/>
          <w:kern w:val="2"/>
          <w:sz w:val="24"/>
          <w:szCs w:val="24"/>
          <w:lang w:val="en-US" w:eastAsia="zh-CN" w:bidi="ar-SA"/>
        </w:rPr>
        <w:fldChar w:fldCharType="end"/>
      </w:r>
    </w:p>
    <w:bookmarkEnd w:id="2"/>
    <w:bookmarkEnd w:id="3"/>
    <w:bookmarkEnd w:id="4"/>
    <w:bookmarkEnd w:id="5"/>
    <w:bookmarkEnd w:id="6"/>
    <w:bookmarkEnd w:id="7"/>
    <w:bookmarkEnd w:id="8"/>
    <w:p>
      <w:pPr>
        <w:pStyle w:val="2"/>
        <w:jc w:val="center"/>
        <w:rPr>
          <w:rFonts w:hint="eastAsia" w:ascii="Times New Roman" w:hAnsi="Times New Roman" w:cs="宋体"/>
          <w:caps w:val="0"/>
          <w:sz w:val="30"/>
          <w:szCs w:val="30"/>
        </w:rPr>
        <w:sectPr>
          <w:footerReference r:id="rId10" w:type="default"/>
          <w:pgSz w:w="11906" w:h="16838"/>
          <w:pgMar w:top="1440" w:right="1800" w:bottom="1440" w:left="1800" w:header="851" w:footer="992" w:gutter="0"/>
          <w:cols w:space="720" w:num="1"/>
          <w:docGrid w:type="lines" w:linePitch="312" w:charSpace="0"/>
        </w:sectPr>
      </w:pPr>
      <w:bookmarkStart w:id="9" w:name="_Toc30083"/>
      <w:bookmarkStart w:id="10" w:name="_Toc7940"/>
      <w:bookmarkStart w:id="11" w:name="_Toc228431314"/>
      <w:bookmarkStart w:id="12" w:name="_Toc245701650"/>
      <w:bookmarkStart w:id="13" w:name="_Toc229469610"/>
      <w:bookmarkStart w:id="14" w:name="_Toc228433045"/>
      <w:bookmarkStart w:id="15" w:name="_Toc228505912"/>
    </w:p>
    <w:p>
      <w:pPr>
        <w:pStyle w:val="2"/>
        <w:jc w:val="center"/>
        <w:rPr>
          <w:rFonts w:hint="eastAsia" w:ascii="Times New Roman" w:hAnsi="Times New Roman" w:cs="宋体"/>
          <w:caps w:val="0"/>
          <w:sz w:val="30"/>
          <w:szCs w:val="30"/>
        </w:rPr>
      </w:pPr>
      <w:r>
        <w:rPr>
          <w:rFonts w:hint="eastAsia" w:ascii="Times New Roman" w:hAnsi="Times New Roman" w:cs="宋体"/>
          <w:caps w:val="0"/>
          <w:sz w:val="30"/>
          <w:szCs w:val="30"/>
        </w:rPr>
        <w:t>第一章   重大风险及重大事项提示</w:t>
      </w:r>
      <w:bookmarkEnd w:id="9"/>
      <w:bookmarkEnd w:id="10"/>
    </w:p>
    <w:p>
      <w:pPr>
        <w:spacing w:line="360" w:lineRule="auto"/>
        <w:ind w:firstLine="480"/>
        <w:rPr>
          <w:rFonts w:hint="eastAsia" w:ascii="Times New Roman" w:hAnsi="Times New Roman" w:eastAsia="宋体" w:cs="宋体"/>
          <w:caps w:val="0"/>
        </w:rPr>
      </w:pPr>
      <w:bookmarkStart w:id="16" w:name="_Toc13979"/>
      <w:r>
        <w:rPr>
          <w:rFonts w:hint="eastAsia" w:ascii="Times New Roman" w:hAnsi="Times New Roman" w:eastAsia="宋体" w:cs="宋体"/>
          <w:caps w:val="0"/>
        </w:rPr>
        <w:t>投资本公司的股权会涉及一系列的风险，因此，投资者在投资前，敬请将下列风险因素连同本挂牌转让说明书中其他内容一并考虑。下列风险因素是按照影响投资决策程度排序的，但该排序并不表示风险因素会依次发生。</w:t>
      </w:r>
      <w:bookmarkStart w:id="17" w:name="_Toc236206524"/>
      <w:bookmarkStart w:id="18" w:name="_Toc236113127"/>
      <w:bookmarkStart w:id="19" w:name="_Toc245701697"/>
      <w:bookmarkStart w:id="20" w:name="_Toc280345464"/>
      <w:bookmarkStart w:id="21" w:name="_Toc236113884"/>
    </w:p>
    <w:p>
      <w:pPr>
        <w:pStyle w:val="3"/>
        <w:keepNext w:val="0"/>
        <w:ind w:firstLine="482"/>
        <w:rPr>
          <w:rFonts w:hint="eastAsia" w:ascii="Times New Roman" w:hAnsi="Times New Roman" w:eastAsia="宋体" w:cs="宋体"/>
          <w:caps w:val="0"/>
          <w:sz w:val="24"/>
          <w:szCs w:val="24"/>
        </w:rPr>
      </w:pPr>
      <w:bookmarkStart w:id="22" w:name="_Toc32391"/>
      <w:bookmarkStart w:id="23" w:name="_Toc15511"/>
      <w:bookmarkStart w:id="24" w:name="_Toc346286106"/>
      <w:bookmarkStart w:id="25" w:name="_Toc347754973"/>
      <w:bookmarkStart w:id="26" w:name="_Toc347823158"/>
      <w:bookmarkStart w:id="27" w:name="_Toc317756546"/>
      <w:bookmarkStart w:id="28" w:name="_Toc342567470"/>
      <w:bookmarkStart w:id="29" w:name="_Toc346092692"/>
      <w:r>
        <w:rPr>
          <w:rFonts w:hint="eastAsia" w:ascii="Times New Roman" w:hAnsi="Times New Roman" w:eastAsia="宋体" w:cs="宋体"/>
          <w:caps w:val="0"/>
          <w:sz w:val="24"/>
          <w:szCs w:val="24"/>
        </w:rPr>
        <w:t>一、重大风险</w:t>
      </w:r>
      <w:bookmarkEnd w:id="22"/>
      <w:bookmarkEnd w:id="23"/>
    </w:p>
    <w:bookmarkEnd w:id="17"/>
    <w:bookmarkEnd w:id="18"/>
    <w:bookmarkEnd w:id="19"/>
    <w:bookmarkEnd w:id="20"/>
    <w:bookmarkEnd w:id="21"/>
    <w:bookmarkEnd w:id="24"/>
    <w:bookmarkEnd w:id="25"/>
    <w:bookmarkEnd w:id="26"/>
    <w:bookmarkEnd w:id="27"/>
    <w:bookmarkEnd w:id="28"/>
    <w:bookmarkEnd w:id="29"/>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rPr>
      </w:pPr>
      <w:bookmarkStart w:id="30" w:name="_Toc30596"/>
      <w:r>
        <w:rPr>
          <w:rFonts w:hint="eastAsia" w:ascii="宋体" w:hAnsi="宋体" w:cs="宋体"/>
        </w:rPr>
        <w:t>（一）</w:t>
      </w:r>
      <w:r>
        <w:rPr>
          <w:rFonts w:hint="eastAsia" w:ascii="宋体" w:hAnsi="宋体" w:cs="宋体"/>
          <w:lang w:val="en-US" w:eastAsia="zh-CN"/>
        </w:rPr>
        <w:t>市场竞争风险</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rPr>
      </w:pPr>
      <w:r>
        <w:rPr>
          <w:rFonts w:hint="eastAsia" w:ascii="宋体" w:hAnsi="宋体" w:cs="宋体"/>
        </w:rPr>
        <w:t xml:space="preserve">公司的主营业务为风冷模块机组、水冷螺杆式机组、空气处理机组、风机盘管机组系列、风机系列、3CF系列、风管系列、电机系列、冷却塔系列、缠绕系列产品150个规格型号的研发、生产、销售等。随着国家对环境保护、节能减排的重视，电气机械和器材制造业处于高速发展阶段，市场前景良好。国内外厂商抓住市场机遇纷纷进入电气机械和器材制造业，近年来公司所在行业内的厂家数量不断增加，行业内厂商数量的不断增加使得本行业市场竞争日趋激烈。公司目前规模较小，虽然具备一定的竞争优势，仍然面临和众多竞争者抢占市场份额，面临着市场竞争的风险。 </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rPr>
      </w:pPr>
      <w:r>
        <w:rPr>
          <w:rFonts w:hint="eastAsia" w:ascii="宋体" w:hAnsi="宋体" w:cs="宋体"/>
        </w:rPr>
        <w:t>（二）研发创新风险</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lang w:val="en-US" w:eastAsia="zh-CN"/>
        </w:rPr>
      </w:pPr>
      <w:r>
        <w:rPr>
          <w:rFonts w:hint="eastAsia" w:ascii="宋体" w:hAnsi="宋体" w:cs="宋体"/>
        </w:rPr>
        <w:t>产品的研发设计能力是保证企业核心竞争优势及持续盈利能力的关键，公司需要准确把握行业需求、及时跟进信息技术变革，推出符合市场的产品。虽然公司长期以来在新产品开发方面持续投入，如果未来公司不能及时把握行业需求变化趋势，新品研发和设计能力不能够满足行业需求，则存在公司竞争力下降的风险</w:t>
      </w:r>
      <w:r>
        <w:rPr>
          <w:rFonts w:hint="eastAsia" w:ascii="宋体" w:hAnsi="宋体" w:cs="宋体"/>
          <w:lang w:val="en-US" w:eastAsia="zh-CN"/>
        </w:rPr>
        <w:t>。</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rPr>
      </w:pPr>
      <w:r>
        <w:rPr>
          <w:rFonts w:hint="eastAsia" w:ascii="宋体" w:hAnsi="宋体" w:cs="宋体"/>
          <w:lang w:val="en-US" w:eastAsia="zh-CN"/>
        </w:rPr>
        <w:t>（三）公司收入与利润规模较低的风险</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rPr>
      </w:pPr>
      <w:r>
        <w:rPr>
          <w:rFonts w:hint="eastAsia" w:ascii="宋体" w:hAnsi="宋体" w:cs="宋体"/>
        </w:rPr>
        <w:t>公司2021年及2022年1-3月营业收入分别为222,669,910.91元、48,043,427.04元，净利润分别为10,117,807.20元、2,042,625.93 元。营业收入及净利润保持增长趋势，但公司目前规模尚比较小。</w:t>
      </w:r>
      <w:r>
        <w:rPr>
          <w:rFonts w:hint="eastAsia" w:ascii="宋体" w:hAnsi="宋体" w:cs="宋体"/>
          <w:lang w:val="en-US" w:eastAsia="zh-CN"/>
        </w:rPr>
        <w:t>公司的客户比较集中，</w:t>
      </w:r>
      <w:r>
        <w:rPr>
          <w:rFonts w:hint="eastAsia" w:ascii="宋体" w:hAnsi="宋体" w:cs="宋体"/>
        </w:rPr>
        <w:t>如果市场发生重大变化，或公司不能抓住机遇开拓新客户，公司未来的收入及盈利水平将可能受到较大影响。</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（四）技术人员短缺和流失的风险</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rPr>
      </w:pPr>
      <w:r>
        <w:rPr>
          <w:rFonts w:hint="eastAsia" w:ascii="宋体" w:hAnsi="宋体" w:eastAsia="宋体" w:cs="宋体"/>
          <w:sz w:val="24"/>
          <w:szCs w:val="24"/>
          <w:lang w:val="en-US" w:eastAsia="zh-CN"/>
        </w:rPr>
        <w:t>公司现有的技术人员尽管在从业经历和职业经验上有一定的优势，但也存在着整体年龄结构断档和知识结构偏低的问题，加之公司激励机制相对滞后，未来公司可能由于技术人员的缺乏和流失，影响公司在技术研发和改进方面的能力，制约公司的发展</w:t>
      </w:r>
      <w:r>
        <w:rPr>
          <w:rFonts w:hint="eastAsia" w:ascii="宋体" w:hAnsi="宋体" w:cs="宋体"/>
          <w:lang w:eastAsia="zh-CN"/>
        </w:rPr>
        <w:t>。</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（五）公司治理风险</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rPr>
      </w:pPr>
      <w:r>
        <w:rPr>
          <w:rFonts w:hint="eastAsia" w:ascii="宋体" w:hAnsi="宋体" w:cs="宋体"/>
          <w:lang w:val="en-US" w:eastAsia="zh-CN"/>
        </w:rPr>
        <w:t>有限公司设立初期，公司存在法人治理结构不够完善，内部控制制度不健全等问题。有限公司发展过程中，公司完善了法人治理机制，制定了适应公司现阶段发展的内容控制体系和管理制度。但由于公司成立时间较短，各项管理、控制制度的执行尚未经过一个较长时期的实践检验，同时，公司治理和内部控制体系也需要在经营过程中逐步完善。因此，未来经营中存在因公司治理不完善，影响公司持续、稳定经营的风险。</w:t>
      </w:r>
    </w:p>
    <w:p>
      <w:pPr>
        <w:pStyle w:val="3"/>
        <w:keepNext w:val="0"/>
        <w:ind w:left="0" w:leftChars="0" w:firstLine="482" w:firstLineChars="200"/>
        <w:rPr>
          <w:rFonts w:hint="eastAsia" w:ascii="Times New Roman" w:hAnsi="Times New Roman" w:eastAsia="宋体" w:cs="宋体"/>
          <w:caps w:val="0"/>
          <w:color w:val="auto"/>
          <w:sz w:val="24"/>
          <w:szCs w:val="24"/>
        </w:rPr>
      </w:pPr>
      <w:r>
        <w:rPr>
          <w:rFonts w:hint="eastAsia" w:ascii="Times New Roman" w:hAnsi="Times New Roman" w:eastAsia="宋体" w:cs="宋体"/>
          <w:caps w:val="0"/>
          <w:color w:val="auto"/>
          <w:sz w:val="24"/>
          <w:szCs w:val="24"/>
        </w:rPr>
        <w:t>二、重大事项提示</w:t>
      </w:r>
      <w:bookmarkEnd w:id="16"/>
      <w:bookmarkEnd w:id="30"/>
    </w:p>
    <w:bookmarkEnd w:id="0"/>
    <w:bookmarkEnd w:id="1"/>
    <w:bookmarkEnd w:id="11"/>
    <w:bookmarkEnd w:id="12"/>
    <w:bookmarkEnd w:id="13"/>
    <w:bookmarkEnd w:id="14"/>
    <w:bookmarkEnd w:id="15"/>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left="0" w:leftChars="0" w:right="0" w:rightChars="0" w:firstLine="480" w:firstLineChars="200"/>
        <w:jc w:val="both"/>
        <w:textAlignment w:val="auto"/>
        <w:outlineLvl w:val="9"/>
        <w:rPr>
          <w:rFonts w:hint="eastAsia" w:ascii="宋体" w:hAnsi="宋体" w:cs="宋体"/>
          <w:kern w:val="0"/>
        </w:rPr>
      </w:pPr>
      <w:bookmarkStart w:id="31" w:name="_Toc2851"/>
      <w:bookmarkStart w:id="32" w:name="_Toc245701656"/>
      <w:bookmarkStart w:id="33" w:name="_Toc347754987"/>
      <w:bookmarkStart w:id="34" w:name="_Toc346286120"/>
      <w:bookmarkStart w:id="35" w:name="_Toc342567484"/>
      <w:bookmarkStart w:id="36" w:name="_Toc317756560"/>
      <w:bookmarkStart w:id="37" w:name="_Toc346092706"/>
      <w:bookmarkStart w:id="38" w:name="_Toc347823172"/>
      <w:r>
        <w:rPr>
          <w:rFonts w:hint="eastAsia" w:ascii="宋体" w:hAnsi="宋体" w:cs="宋体"/>
          <w:kern w:val="0"/>
        </w:rPr>
        <w:t>（一）股东关于自愿锁定股权的承诺</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rPr>
      </w:pPr>
      <w:r>
        <w:rPr>
          <w:rFonts w:hint="eastAsia" w:ascii="宋体" w:hAnsi="宋体" w:cs="宋体"/>
        </w:rPr>
        <w:t>1、相关法律法规对股东所持股份的限制性规定</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rPr>
      </w:pPr>
      <w:r>
        <w:rPr>
          <w:rFonts w:hint="eastAsia" w:ascii="宋体" w:hAnsi="宋体" w:cs="宋体"/>
        </w:rPr>
        <w:t>《公司法》第一百四十一条规定：“发起人持有的本公司股份，自公司成立之日起一年内不得转让。公司公开发行股份前已发行的股份，自公司股票在证券交易所上市交易之日起一年内不得转让。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公司股份作出其他限制性规定。”</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rPr>
      </w:pPr>
      <w:r>
        <w:rPr>
          <w:rFonts w:hint="eastAsia" w:ascii="宋体" w:hAnsi="宋体" w:cs="宋体"/>
          <w:lang w:val="en-US" w:eastAsia="zh-CN"/>
        </w:rPr>
        <w:t>2、</w:t>
      </w:r>
      <w:r>
        <w:rPr>
          <w:rFonts w:hint="eastAsia" w:ascii="宋体" w:hAnsi="宋体" w:cs="宋体"/>
        </w:rPr>
        <w:t>直接或间接持有本公司股权的公司执行董事、监事、高级管理人员承诺：本人在任职期间内，定期向公司申报所持有的本公司股权及其变动情况；在任职期间每年转让的股权不得超过本人所持有本公司股权总数的25%；离职后六个月内不转让所持有的本公司的股权；本人所持有的公司股权，自本公司股权挂牌之日起，自愿锁定12个月，期间本人不转让或委托他人管理本人持有的本公司的股权，也不由本公司回购本人持有的股权。本人自愿接受有关股权转让的限制性安排并在承诺期间接受推荐机构对本人履行承诺义务的持续督导。本人保证若未按承诺文件的规定履行其承诺时，将赔偿其他股东因此而遭受的损失。</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left="0" w:leftChars="0" w:right="0" w:rightChars="0" w:firstLine="480" w:firstLineChars="200"/>
        <w:jc w:val="both"/>
        <w:textAlignment w:val="auto"/>
        <w:outlineLvl w:val="9"/>
        <w:rPr>
          <w:rFonts w:hint="eastAsia" w:ascii="宋体" w:hAnsi="宋体" w:cs="宋体"/>
          <w:color w:val="auto"/>
          <w:kern w:val="0"/>
        </w:rPr>
      </w:pPr>
      <w:r>
        <w:rPr>
          <w:rFonts w:hint="eastAsia" w:ascii="宋体" w:hAnsi="宋体" w:cs="宋体"/>
          <w:color w:val="auto"/>
          <w:kern w:val="0"/>
        </w:rPr>
        <w:t>（二）股利分配政策</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360" w:lineRule="auto"/>
        <w:ind w:left="0" w:leftChars="0" w:right="0" w:rightChars="0" w:firstLine="480" w:firstLineChars="200"/>
        <w:jc w:val="both"/>
        <w:textAlignment w:val="auto"/>
        <w:outlineLvl w:val="9"/>
        <w:rPr>
          <w:rFonts w:hint="default" w:ascii="宋体" w:hAnsi="宋体" w:eastAsia="宋体" w:cs="宋体"/>
          <w:color w:val="auto"/>
          <w:kern w:val="0"/>
          <w:lang w:val="en-US" w:eastAsia="zh-CN"/>
        </w:rPr>
      </w:pPr>
      <w:r>
        <w:rPr>
          <w:rFonts w:hint="eastAsia" w:ascii="宋体" w:hAnsi="宋体" w:cs="宋体"/>
          <w:color w:val="auto"/>
          <w:kern w:val="0"/>
          <w:lang w:val="en-US" w:eastAsia="zh-CN"/>
        </w:rPr>
        <w:t>根据《公司章程》第五章第七条“（4）依照法律、法规和公司章程的规定获取股利并转让”，第八章第二十四条“公司利润分配按照《公司法》及有关法律、法规，国务院财政主管部门的规定执行”。</w:t>
      </w:r>
    </w:p>
    <w:p>
      <w:pPr>
        <w:autoSpaceDE w:val="0"/>
        <w:autoSpaceDN w:val="0"/>
        <w:spacing w:before="156" w:beforeLines="50" w:after="156" w:afterLines="50" w:line="360" w:lineRule="auto"/>
        <w:ind w:firstLine="480"/>
        <w:jc w:val="center"/>
        <w:rPr>
          <w:rStyle w:val="76"/>
          <w:rFonts w:hint="eastAsia" w:ascii="Times New Roman" w:hAnsi="Times New Roman"/>
          <w:caps w:val="0"/>
          <w:sz w:val="30"/>
          <w:szCs w:val="30"/>
        </w:rPr>
      </w:pPr>
    </w:p>
    <w:p>
      <w:pPr>
        <w:autoSpaceDE w:val="0"/>
        <w:autoSpaceDN w:val="0"/>
        <w:spacing w:before="156" w:beforeLines="50" w:after="156" w:afterLines="50" w:line="360" w:lineRule="auto"/>
        <w:ind w:firstLine="480"/>
        <w:jc w:val="center"/>
        <w:rPr>
          <w:rStyle w:val="76"/>
          <w:rFonts w:hint="eastAsia" w:ascii="Times New Roman" w:hAnsi="Times New Roman"/>
          <w:caps w:val="0"/>
          <w:sz w:val="30"/>
          <w:szCs w:val="30"/>
        </w:rPr>
      </w:pPr>
    </w:p>
    <w:p>
      <w:pPr>
        <w:autoSpaceDE w:val="0"/>
        <w:autoSpaceDN w:val="0"/>
        <w:spacing w:before="156" w:beforeLines="50" w:after="156" w:afterLines="50" w:line="360" w:lineRule="auto"/>
        <w:ind w:firstLine="480"/>
        <w:jc w:val="center"/>
        <w:rPr>
          <w:rStyle w:val="76"/>
          <w:rFonts w:hint="eastAsia" w:ascii="Times New Roman" w:hAnsi="Times New Roman"/>
          <w:caps w:val="0"/>
          <w:sz w:val="30"/>
          <w:szCs w:val="30"/>
        </w:rPr>
      </w:pPr>
    </w:p>
    <w:p>
      <w:pPr>
        <w:autoSpaceDE w:val="0"/>
        <w:autoSpaceDN w:val="0"/>
        <w:spacing w:before="156" w:beforeLines="50" w:after="156" w:afterLines="50" w:line="360" w:lineRule="auto"/>
        <w:ind w:firstLine="480"/>
        <w:jc w:val="center"/>
        <w:rPr>
          <w:rStyle w:val="76"/>
          <w:rFonts w:hint="eastAsia" w:ascii="Times New Roman" w:hAnsi="Times New Roman"/>
          <w:caps w:val="0"/>
          <w:sz w:val="30"/>
          <w:szCs w:val="30"/>
        </w:rPr>
      </w:pPr>
    </w:p>
    <w:p>
      <w:pPr>
        <w:autoSpaceDE w:val="0"/>
        <w:autoSpaceDN w:val="0"/>
        <w:spacing w:before="156" w:beforeLines="50" w:after="156" w:afterLines="50" w:line="360" w:lineRule="auto"/>
        <w:ind w:firstLine="480"/>
        <w:jc w:val="center"/>
        <w:rPr>
          <w:rStyle w:val="76"/>
          <w:rFonts w:hint="eastAsia" w:ascii="Times New Roman" w:hAnsi="Times New Roman"/>
          <w:caps w:val="0"/>
          <w:sz w:val="30"/>
          <w:szCs w:val="30"/>
        </w:rPr>
      </w:pPr>
    </w:p>
    <w:p>
      <w:pPr>
        <w:autoSpaceDE w:val="0"/>
        <w:autoSpaceDN w:val="0"/>
        <w:spacing w:before="156" w:beforeLines="50" w:after="156" w:afterLines="50" w:line="360" w:lineRule="auto"/>
        <w:ind w:left="0" w:leftChars="0" w:firstLine="0" w:firstLineChars="0"/>
        <w:jc w:val="both"/>
        <w:rPr>
          <w:rStyle w:val="76"/>
          <w:rFonts w:hint="eastAsia" w:ascii="Times New Roman" w:hAnsi="Times New Roman"/>
          <w:caps w:val="0"/>
          <w:sz w:val="30"/>
          <w:szCs w:val="30"/>
        </w:rPr>
      </w:pPr>
    </w:p>
    <w:p>
      <w:pPr>
        <w:autoSpaceDE w:val="0"/>
        <w:autoSpaceDN w:val="0"/>
        <w:spacing w:before="156" w:beforeLines="50" w:after="156" w:afterLines="50" w:line="360" w:lineRule="auto"/>
        <w:ind w:left="0" w:leftChars="0" w:firstLine="0" w:firstLineChars="0"/>
        <w:jc w:val="center"/>
        <w:rPr>
          <w:rStyle w:val="76"/>
          <w:rFonts w:hint="eastAsia" w:ascii="Times New Roman" w:hAnsi="Times New Roman"/>
          <w:caps w:val="0"/>
          <w:sz w:val="30"/>
          <w:szCs w:val="30"/>
        </w:rPr>
      </w:pPr>
      <w:bookmarkStart w:id="39" w:name="_Toc30117"/>
    </w:p>
    <w:p>
      <w:pPr>
        <w:autoSpaceDE w:val="0"/>
        <w:autoSpaceDN w:val="0"/>
        <w:spacing w:before="156" w:beforeLines="50" w:after="156" w:afterLines="50" w:line="360" w:lineRule="auto"/>
        <w:ind w:left="0" w:leftChars="0" w:firstLine="0" w:firstLineChars="0"/>
        <w:jc w:val="center"/>
        <w:rPr>
          <w:rStyle w:val="76"/>
          <w:rFonts w:hint="eastAsia" w:ascii="Times New Roman" w:hAnsi="Times New Roman"/>
          <w:caps w:val="0"/>
          <w:sz w:val="30"/>
          <w:szCs w:val="30"/>
        </w:rPr>
      </w:pPr>
    </w:p>
    <w:p>
      <w:pPr>
        <w:autoSpaceDE w:val="0"/>
        <w:autoSpaceDN w:val="0"/>
        <w:spacing w:before="156" w:beforeLines="50" w:after="156" w:afterLines="50" w:line="360" w:lineRule="auto"/>
        <w:ind w:left="0" w:leftChars="0" w:firstLine="0" w:firstLineChars="0"/>
        <w:jc w:val="center"/>
        <w:rPr>
          <w:rStyle w:val="76"/>
          <w:rFonts w:hint="eastAsia" w:ascii="Times New Roman" w:hAnsi="Times New Roman"/>
          <w:caps w:val="0"/>
          <w:sz w:val="30"/>
          <w:szCs w:val="30"/>
        </w:rPr>
      </w:pPr>
    </w:p>
    <w:p>
      <w:pPr>
        <w:autoSpaceDE w:val="0"/>
        <w:autoSpaceDN w:val="0"/>
        <w:spacing w:before="156" w:beforeLines="50" w:after="156" w:afterLines="50" w:line="360" w:lineRule="auto"/>
        <w:ind w:left="0" w:leftChars="0" w:firstLine="0" w:firstLineChars="0"/>
        <w:jc w:val="center"/>
        <w:rPr>
          <w:rStyle w:val="76"/>
          <w:rFonts w:hint="eastAsia" w:ascii="Times New Roman" w:hAnsi="Times New Roman"/>
          <w:caps w:val="0"/>
          <w:sz w:val="30"/>
          <w:szCs w:val="30"/>
        </w:rPr>
      </w:pPr>
    </w:p>
    <w:p>
      <w:pPr>
        <w:autoSpaceDE w:val="0"/>
        <w:autoSpaceDN w:val="0"/>
        <w:spacing w:before="156" w:beforeLines="50" w:after="156" w:afterLines="50" w:line="360" w:lineRule="auto"/>
        <w:ind w:left="0" w:leftChars="0" w:firstLine="0" w:firstLineChars="0"/>
        <w:jc w:val="center"/>
        <w:rPr>
          <w:rStyle w:val="76"/>
          <w:rFonts w:hint="eastAsia" w:ascii="Times New Roman" w:hAnsi="Times New Roman"/>
          <w:caps w:val="0"/>
          <w:sz w:val="30"/>
          <w:szCs w:val="30"/>
        </w:rPr>
      </w:pPr>
    </w:p>
    <w:p>
      <w:pPr>
        <w:autoSpaceDE w:val="0"/>
        <w:autoSpaceDN w:val="0"/>
        <w:spacing w:before="156" w:beforeLines="50" w:after="156" w:afterLines="50" w:line="360" w:lineRule="auto"/>
        <w:ind w:left="0" w:leftChars="0" w:firstLine="0" w:firstLineChars="0"/>
        <w:jc w:val="center"/>
        <w:rPr>
          <w:rStyle w:val="76"/>
          <w:rFonts w:hint="eastAsia" w:ascii="Times New Roman" w:hAnsi="Times New Roman"/>
          <w:caps w:val="0"/>
          <w:sz w:val="30"/>
          <w:szCs w:val="30"/>
        </w:rPr>
      </w:pPr>
    </w:p>
    <w:p>
      <w:pPr>
        <w:autoSpaceDE w:val="0"/>
        <w:autoSpaceDN w:val="0"/>
        <w:spacing w:before="156" w:beforeLines="50" w:after="156" w:afterLines="50" w:line="360" w:lineRule="auto"/>
        <w:ind w:left="0" w:leftChars="0" w:firstLine="0" w:firstLineChars="0"/>
        <w:jc w:val="center"/>
        <w:rPr>
          <w:rStyle w:val="76"/>
          <w:rFonts w:hint="eastAsia" w:ascii="Times New Roman" w:hAnsi="Times New Roman"/>
          <w:caps w:val="0"/>
          <w:sz w:val="30"/>
          <w:szCs w:val="30"/>
        </w:rPr>
      </w:pPr>
    </w:p>
    <w:p>
      <w:pPr>
        <w:autoSpaceDE w:val="0"/>
        <w:autoSpaceDN w:val="0"/>
        <w:spacing w:before="156" w:beforeLines="50" w:after="156" w:afterLines="50" w:line="360" w:lineRule="auto"/>
        <w:ind w:left="0" w:leftChars="0" w:firstLine="0" w:firstLineChars="0"/>
        <w:jc w:val="center"/>
        <w:rPr>
          <w:rStyle w:val="76"/>
          <w:rFonts w:hint="eastAsia" w:ascii="Times New Roman" w:hAnsi="Times New Roman"/>
          <w:caps w:val="0"/>
          <w:sz w:val="30"/>
          <w:szCs w:val="30"/>
        </w:rPr>
      </w:pPr>
    </w:p>
    <w:p>
      <w:pPr>
        <w:autoSpaceDE w:val="0"/>
        <w:autoSpaceDN w:val="0"/>
        <w:spacing w:before="156" w:beforeLines="50" w:after="156" w:afterLines="50" w:line="360" w:lineRule="auto"/>
        <w:ind w:left="0" w:leftChars="0" w:firstLine="0" w:firstLineChars="0"/>
        <w:jc w:val="center"/>
        <w:rPr>
          <w:rStyle w:val="76"/>
          <w:rFonts w:hint="eastAsia" w:ascii="Times New Roman" w:hAnsi="Times New Roman"/>
          <w:caps w:val="0"/>
          <w:sz w:val="30"/>
          <w:szCs w:val="30"/>
        </w:rPr>
      </w:pPr>
    </w:p>
    <w:p>
      <w:pPr>
        <w:autoSpaceDE w:val="0"/>
        <w:autoSpaceDN w:val="0"/>
        <w:spacing w:before="156" w:beforeLines="50" w:after="156" w:afterLines="50" w:line="360" w:lineRule="auto"/>
        <w:ind w:left="0" w:leftChars="0" w:firstLine="0" w:firstLineChars="0"/>
        <w:jc w:val="center"/>
        <w:rPr>
          <w:rStyle w:val="76"/>
          <w:rFonts w:hint="eastAsia" w:ascii="Times New Roman" w:hAnsi="Times New Roman"/>
          <w:caps w:val="0"/>
          <w:sz w:val="30"/>
          <w:szCs w:val="30"/>
        </w:rPr>
      </w:pPr>
    </w:p>
    <w:p>
      <w:pPr>
        <w:autoSpaceDE w:val="0"/>
        <w:autoSpaceDN w:val="0"/>
        <w:spacing w:before="156" w:beforeLines="50" w:after="156" w:afterLines="50" w:line="360" w:lineRule="auto"/>
        <w:ind w:left="0" w:leftChars="0" w:firstLine="0" w:firstLineChars="0"/>
        <w:jc w:val="center"/>
        <w:rPr>
          <w:rStyle w:val="76"/>
          <w:rFonts w:hint="eastAsia" w:ascii="Times New Roman" w:hAnsi="Times New Roman"/>
          <w:caps w:val="0"/>
          <w:sz w:val="30"/>
          <w:szCs w:val="30"/>
        </w:rPr>
      </w:pPr>
    </w:p>
    <w:p>
      <w:pPr>
        <w:autoSpaceDE w:val="0"/>
        <w:autoSpaceDN w:val="0"/>
        <w:spacing w:before="156" w:beforeLines="50" w:after="156" w:afterLines="50" w:line="360" w:lineRule="auto"/>
        <w:ind w:left="0" w:leftChars="0" w:firstLine="0" w:firstLineChars="0"/>
        <w:jc w:val="center"/>
        <w:rPr>
          <w:rStyle w:val="76"/>
          <w:rFonts w:hint="eastAsia" w:ascii="Times New Roman" w:hAnsi="Times New Roman"/>
          <w:caps w:val="0"/>
        </w:rPr>
      </w:pPr>
      <w:r>
        <w:rPr>
          <w:rStyle w:val="76"/>
          <w:rFonts w:hint="eastAsia" w:ascii="Times New Roman" w:hAnsi="Times New Roman"/>
          <w:caps w:val="0"/>
          <w:sz w:val="30"/>
          <w:szCs w:val="30"/>
        </w:rPr>
        <w:t>第二章   基本情况</w:t>
      </w:r>
      <w:bookmarkEnd w:id="31"/>
    </w:p>
    <w:bookmarkEnd w:id="39"/>
    <w:p>
      <w:pPr>
        <w:pStyle w:val="3"/>
        <w:ind w:left="0" w:leftChars="0" w:firstLine="723" w:firstLineChars="300"/>
        <w:rPr>
          <w:rFonts w:hint="eastAsia" w:ascii="Times New Roman" w:hAnsi="Times New Roman" w:eastAsia="宋体" w:cs="宋体"/>
          <w:caps w:val="0"/>
          <w:sz w:val="24"/>
          <w:szCs w:val="24"/>
        </w:rPr>
      </w:pPr>
      <w:bookmarkStart w:id="40" w:name="_Toc346092689"/>
      <w:bookmarkStart w:id="41" w:name="_Toc245701651"/>
      <w:bookmarkStart w:id="42" w:name="_Toc4197"/>
      <w:bookmarkStart w:id="43" w:name="_Toc21854"/>
      <w:bookmarkStart w:id="44" w:name="_Toc342567467"/>
      <w:bookmarkStart w:id="45" w:name="_Toc346286103"/>
      <w:bookmarkStart w:id="46" w:name="_Toc317756539"/>
      <w:bookmarkStart w:id="47" w:name="_Toc347823155"/>
      <w:bookmarkStart w:id="48" w:name="_Toc347754970"/>
      <w:r>
        <w:rPr>
          <w:rFonts w:hint="eastAsia" w:ascii="Times New Roman" w:hAnsi="Times New Roman" w:eastAsia="宋体" w:cs="宋体"/>
          <w:caps w:val="0"/>
          <w:sz w:val="24"/>
          <w:szCs w:val="24"/>
        </w:rPr>
        <w:t>一、挂牌公司基本情况</w:t>
      </w:r>
      <w:bookmarkEnd w:id="40"/>
      <w:bookmarkEnd w:id="41"/>
      <w:bookmarkEnd w:id="42"/>
      <w:bookmarkEnd w:id="43"/>
      <w:bookmarkEnd w:id="44"/>
      <w:bookmarkEnd w:id="45"/>
      <w:bookmarkEnd w:id="46"/>
      <w:bookmarkEnd w:id="47"/>
      <w:bookmarkEnd w:id="48"/>
    </w:p>
    <w:p>
      <w:pPr>
        <w:spacing w:line="360" w:lineRule="auto"/>
        <w:ind w:firstLine="480"/>
        <w:rPr>
          <w:rFonts w:hint="eastAsia" w:ascii="宋体" w:hAnsi="宋体" w:cs="宋体"/>
          <w:lang w:eastAsia="zh-CN"/>
        </w:rPr>
      </w:pPr>
      <w:r>
        <w:rPr>
          <w:rFonts w:hint="eastAsia" w:ascii="Times New Roman" w:hAnsi="Times New Roman" w:eastAsia="宋体" w:cs="宋体"/>
          <w:caps w:val="0"/>
        </w:rPr>
        <w:t>公司名称：</w:t>
      </w:r>
      <w:r>
        <w:rPr>
          <w:rFonts w:hint="eastAsia" w:ascii="宋体" w:hAnsi="宋体" w:cs="宋体"/>
          <w:lang w:eastAsia="zh-CN"/>
        </w:rPr>
        <w:t xml:space="preserve">山东兴恒环境科技集团有限公司     </w:t>
      </w:r>
    </w:p>
    <w:p>
      <w:pPr>
        <w:spacing w:line="360" w:lineRule="auto"/>
        <w:ind w:firstLine="480"/>
        <w:rPr>
          <w:rFonts w:hint="eastAsia" w:ascii="Times New Roman" w:hAnsi="Times New Roman" w:eastAsia="宋体" w:cs="宋体"/>
          <w:i w:val="0"/>
          <w:caps w:val="0"/>
          <w:color w:val="131313"/>
          <w:spacing w:val="0"/>
          <w:sz w:val="24"/>
          <w:szCs w:val="24"/>
          <w:shd w:val="clear" w:color="auto" w:fill="FFFFFF"/>
        </w:rPr>
      </w:pPr>
      <w:r>
        <w:rPr>
          <w:rFonts w:hint="eastAsia" w:ascii="Times New Roman" w:hAnsi="Times New Roman" w:eastAsia="宋体" w:cs="宋体"/>
          <w:i w:val="0"/>
          <w:caps w:val="0"/>
          <w:color w:val="131313"/>
          <w:spacing w:val="0"/>
          <w:sz w:val="24"/>
          <w:szCs w:val="24"/>
          <w:shd w:val="clear" w:color="auto" w:fill="FFFFFF"/>
        </w:rPr>
        <w:t>注册资本：</w:t>
      </w:r>
      <w:r>
        <w:rPr>
          <w:rFonts w:hint="eastAsia" w:cs="宋体"/>
          <w:i w:val="0"/>
          <w:caps w:val="0"/>
          <w:color w:val="131313"/>
          <w:spacing w:val="0"/>
          <w:sz w:val="24"/>
          <w:szCs w:val="24"/>
          <w:shd w:val="clear" w:color="auto" w:fill="FFFFFF"/>
          <w:lang w:val="en-US" w:eastAsia="zh-CN"/>
        </w:rPr>
        <w:t>5000</w:t>
      </w:r>
      <w:r>
        <w:rPr>
          <w:rFonts w:hint="eastAsia" w:ascii="Times New Roman" w:hAnsi="Times New Roman" w:eastAsia="宋体" w:cs="宋体"/>
          <w:i w:val="0"/>
          <w:caps w:val="0"/>
          <w:color w:val="131313"/>
          <w:spacing w:val="0"/>
          <w:sz w:val="24"/>
          <w:szCs w:val="24"/>
          <w:shd w:val="clear" w:color="auto" w:fill="FFFFFF"/>
        </w:rPr>
        <w:t xml:space="preserve">万元 </w:t>
      </w:r>
    </w:p>
    <w:p>
      <w:pPr>
        <w:spacing w:line="360" w:lineRule="auto"/>
        <w:ind w:firstLine="480"/>
        <w:rPr>
          <w:rFonts w:hint="eastAsia" w:ascii="Times New Roman" w:hAnsi="Times New Roman" w:eastAsia="宋体" w:cs="宋体"/>
          <w:i w:val="0"/>
          <w:caps w:val="0"/>
          <w:color w:val="131313"/>
          <w:spacing w:val="0"/>
          <w:sz w:val="24"/>
          <w:szCs w:val="24"/>
          <w:shd w:val="clear" w:color="auto" w:fill="FFFFFF"/>
        </w:rPr>
      </w:pPr>
      <w:r>
        <w:rPr>
          <w:rFonts w:hint="eastAsia" w:ascii="Times New Roman" w:hAnsi="Times New Roman" w:eastAsia="宋体" w:cs="宋体"/>
          <w:i w:val="0"/>
          <w:caps w:val="0"/>
          <w:color w:val="131313"/>
          <w:spacing w:val="0"/>
          <w:sz w:val="24"/>
          <w:szCs w:val="24"/>
          <w:shd w:val="clear" w:color="auto" w:fill="FFFFFF"/>
        </w:rPr>
        <w:t>实收资本：</w:t>
      </w:r>
      <w:r>
        <w:rPr>
          <w:rFonts w:hint="eastAsia" w:cs="宋体"/>
          <w:i w:val="0"/>
          <w:caps w:val="0"/>
          <w:color w:val="131313"/>
          <w:spacing w:val="0"/>
          <w:sz w:val="24"/>
          <w:szCs w:val="24"/>
          <w:shd w:val="clear" w:color="auto" w:fill="FFFFFF"/>
          <w:lang w:val="en-US" w:eastAsia="zh-CN"/>
        </w:rPr>
        <w:t>5000</w:t>
      </w:r>
      <w:r>
        <w:rPr>
          <w:rFonts w:hint="eastAsia" w:ascii="Times New Roman" w:hAnsi="Times New Roman" w:eastAsia="宋体" w:cs="宋体"/>
          <w:i w:val="0"/>
          <w:caps w:val="0"/>
          <w:color w:val="131313"/>
          <w:spacing w:val="0"/>
          <w:sz w:val="24"/>
          <w:szCs w:val="24"/>
          <w:shd w:val="clear" w:color="auto" w:fill="FFFFFF"/>
        </w:rPr>
        <w:t>万元</w:t>
      </w:r>
    </w:p>
    <w:p>
      <w:pPr>
        <w:spacing w:line="360" w:lineRule="auto"/>
        <w:ind w:firstLine="480"/>
        <w:rPr>
          <w:rFonts w:hint="default" w:ascii="Times New Roman" w:hAnsi="Times New Roman" w:eastAsia="宋体" w:cs="宋体"/>
          <w:i w:val="0"/>
          <w:caps w:val="0"/>
          <w:color w:val="131313"/>
          <w:spacing w:val="0"/>
          <w:sz w:val="24"/>
          <w:szCs w:val="24"/>
          <w:shd w:val="clear" w:color="auto" w:fill="FFFFFF"/>
          <w:lang w:val="en-US" w:eastAsia="zh-CN"/>
        </w:rPr>
      </w:pPr>
      <w:r>
        <w:rPr>
          <w:rFonts w:hint="eastAsia" w:ascii="Times New Roman" w:hAnsi="Times New Roman" w:eastAsia="宋体" w:cs="宋体"/>
          <w:i w:val="0"/>
          <w:caps w:val="0"/>
          <w:color w:val="131313"/>
          <w:spacing w:val="0"/>
          <w:sz w:val="24"/>
          <w:szCs w:val="24"/>
          <w:shd w:val="clear" w:color="auto" w:fill="FFFFFF"/>
        </w:rPr>
        <w:t>法定代表人</w:t>
      </w:r>
      <w:r>
        <w:rPr>
          <w:rFonts w:hint="eastAsia" w:ascii="Times New Roman" w:hAnsi="Times New Roman" w:eastAsia="宋体" w:cs="宋体"/>
          <w:i w:val="0"/>
          <w:caps w:val="0"/>
          <w:color w:val="131313"/>
          <w:spacing w:val="0"/>
          <w:sz w:val="24"/>
          <w:szCs w:val="24"/>
          <w:shd w:val="clear" w:color="auto" w:fill="FFFFFF"/>
          <w:lang w:eastAsia="zh-CN"/>
        </w:rPr>
        <w:t>：</w:t>
      </w:r>
      <w:r>
        <w:rPr>
          <w:rFonts w:hint="eastAsia" w:cs="宋体"/>
          <w:i w:val="0"/>
          <w:caps w:val="0"/>
          <w:color w:val="131313"/>
          <w:spacing w:val="0"/>
          <w:sz w:val="24"/>
          <w:szCs w:val="24"/>
          <w:shd w:val="clear" w:color="auto" w:fill="FFFFFF"/>
          <w:lang w:val="en-US" w:eastAsia="zh-CN"/>
        </w:rPr>
        <w:t>孙东斌</w:t>
      </w:r>
    </w:p>
    <w:p>
      <w:pPr>
        <w:spacing w:line="360" w:lineRule="auto"/>
        <w:ind w:firstLine="480"/>
        <w:rPr>
          <w:rFonts w:hint="default" w:ascii="Times New Roman" w:hAnsi="Times New Roman" w:eastAsia="宋体" w:cs="宋体"/>
          <w:i w:val="0"/>
          <w:caps w:val="0"/>
          <w:color w:val="131313"/>
          <w:spacing w:val="0"/>
          <w:sz w:val="24"/>
          <w:szCs w:val="24"/>
          <w:shd w:val="clear" w:color="auto" w:fill="FFFFFF"/>
          <w:lang w:val="en-US" w:eastAsia="zh-CN"/>
        </w:rPr>
      </w:pPr>
      <w:r>
        <w:rPr>
          <w:rFonts w:hint="eastAsia" w:ascii="Times New Roman" w:hAnsi="Times New Roman" w:eastAsia="宋体" w:cs="宋体"/>
          <w:i w:val="0"/>
          <w:caps w:val="0"/>
          <w:color w:val="131313"/>
          <w:spacing w:val="0"/>
          <w:sz w:val="24"/>
          <w:szCs w:val="24"/>
          <w:shd w:val="clear" w:color="auto" w:fill="FFFFFF"/>
        </w:rPr>
        <w:t>统一社会信用</w:t>
      </w:r>
      <w:r>
        <w:rPr>
          <w:rFonts w:hint="eastAsia" w:ascii="Times New Roman" w:hAnsi="Times New Roman" w:eastAsia="宋体" w:cs="宋体"/>
          <w:i w:val="0"/>
          <w:caps w:val="0"/>
          <w:color w:val="131313"/>
          <w:spacing w:val="0"/>
          <w:sz w:val="24"/>
          <w:szCs w:val="24"/>
          <w:shd w:val="clear" w:color="auto" w:fill="FFFFFF"/>
          <w:lang w:val="en-US" w:eastAsia="zh-CN"/>
        </w:rPr>
        <w:t>代码：91371428570467788K</w:t>
      </w:r>
    </w:p>
    <w:p>
      <w:pPr>
        <w:spacing w:line="360" w:lineRule="auto"/>
        <w:ind w:firstLine="480"/>
        <w:rPr>
          <w:rFonts w:hint="eastAsia" w:ascii="Times New Roman" w:hAnsi="Times New Roman" w:eastAsia="宋体" w:cs="宋体"/>
          <w:i w:val="0"/>
          <w:caps w:val="0"/>
          <w:color w:val="131313"/>
          <w:spacing w:val="0"/>
          <w:sz w:val="24"/>
          <w:szCs w:val="24"/>
          <w:shd w:val="clear" w:color="auto" w:fill="FFFFFF"/>
          <w:lang w:val="en-US" w:eastAsia="zh-CN"/>
        </w:rPr>
      </w:pPr>
      <w:r>
        <w:rPr>
          <w:rFonts w:hint="eastAsia" w:ascii="Times New Roman" w:hAnsi="Times New Roman" w:eastAsia="宋体" w:cs="宋体"/>
          <w:caps w:val="0"/>
        </w:rPr>
        <w:t>成立日期：2011年03月04日</w:t>
      </w:r>
    </w:p>
    <w:p>
      <w:pPr>
        <w:spacing w:line="360" w:lineRule="auto"/>
        <w:ind w:firstLine="480"/>
        <w:rPr>
          <w:rFonts w:hint="eastAsia" w:ascii="Times New Roman" w:hAnsi="Times New Roman" w:eastAsia="宋体" w:cs="宋体"/>
          <w:caps w:val="0"/>
          <w:lang w:eastAsia="zh-CN"/>
        </w:rPr>
      </w:pPr>
      <w:r>
        <w:rPr>
          <w:rFonts w:hint="eastAsia" w:ascii="Times New Roman" w:hAnsi="Times New Roman" w:eastAsia="宋体" w:cs="宋体"/>
          <w:caps w:val="0"/>
        </w:rPr>
        <w:t>住所：山东省德州市武城县鲁权屯镇开发区</w:t>
      </w:r>
      <w:r>
        <w:rPr>
          <w:rFonts w:hint="eastAsia" w:ascii="宋体" w:hAnsi="宋体" w:cs="宋体"/>
          <w:lang w:eastAsia="zh-CN"/>
        </w:rPr>
        <w:t>。</w:t>
      </w:r>
    </w:p>
    <w:p>
      <w:pPr>
        <w:spacing w:line="360" w:lineRule="auto"/>
        <w:ind w:firstLine="480"/>
        <w:rPr>
          <w:rFonts w:hint="eastAsia" w:ascii="宋体" w:hAnsi="宋体" w:cs="宋体"/>
          <w:color w:val="000000"/>
        </w:rPr>
      </w:pPr>
      <w:r>
        <w:rPr>
          <w:rFonts w:hint="eastAsia" w:ascii="Times New Roman" w:hAnsi="Times New Roman" w:eastAsia="宋体" w:cs="宋体"/>
          <w:caps w:val="0"/>
        </w:rPr>
        <w:t>经营范围：空调设备及零部件、通风设备及零部件、环保设备及零部件、机电设备及零部件、净化设备及零部件、水处理设备及零部件、电气设备、缠绕制品、玻璃钢制品、金属制品、保温材料、冷却塔、水箱、电机、防火阀、排烟阀、排烟防火阀、轴流式消防排烟风机、离心式消防排烟风机的研发、制造、销售、安装及维保；建筑机电安装工程、人防工程、电子与智能化工程、建筑装饰装修工程、环保工程、消防设施工程、防水防腐保温工程施工；施工劳务、货物及技术的进出口业务。（依法须经批准的项目，经相关部门批准后方可开展经营活动</w:t>
      </w:r>
      <w:r>
        <w:rPr>
          <w:rFonts w:hint="eastAsia" w:ascii="宋体" w:hAnsi="宋体" w:cs="宋体"/>
          <w:lang w:val="en-US" w:eastAsia="zh-CN"/>
        </w:rPr>
        <w:t>）</w:t>
      </w:r>
    </w:p>
    <w:p>
      <w:pPr>
        <w:spacing w:line="360" w:lineRule="auto"/>
        <w:ind w:firstLine="480"/>
        <w:rPr>
          <w:rFonts w:hint="eastAsia" w:ascii="宋体" w:hAnsi="宋体" w:cs="宋体"/>
          <w:bCs/>
          <w:lang w:eastAsia="zh-CN"/>
        </w:rPr>
      </w:pPr>
      <w:r>
        <w:rPr>
          <w:rFonts w:hint="eastAsia" w:ascii="宋体" w:hAnsi="宋体" w:cs="宋体"/>
          <w:bCs/>
        </w:rPr>
        <w:t>主要</w:t>
      </w:r>
      <w:r>
        <w:rPr>
          <w:rFonts w:hint="eastAsia" w:ascii="宋体" w:hAnsi="宋体" w:cs="宋体"/>
          <w:bCs/>
          <w:lang w:eastAsia="zh-CN"/>
        </w:rPr>
        <w:t>业务</w:t>
      </w:r>
      <w:r>
        <w:rPr>
          <w:rFonts w:hint="eastAsia" w:ascii="宋体" w:hAnsi="宋体" w:cs="宋体"/>
          <w:bCs/>
        </w:rPr>
        <w:t>：风冷模块机组、水冷螺杆式机组、空气处理机组、风机盘管机组系列、风机系列、3CF系列、风管系列、电机系列、冷却塔系列、缠绕系列产品150个规格型号的研发、生产、销售。</w:t>
      </w:r>
    </w:p>
    <w:p>
      <w:pPr>
        <w:spacing w:line="360" w:lineRule="auto"/>
        <w:ind w:firstLine="480"/>
        <w:rPr>
          <w:rFonts w:hint="default" w:ascii="Times New Roman" w:hAnsi="Times New Roman" w:eastAsia="宋体" w:cs="宋体"/>
          <w:i w:val="0"/>
          <w:caps w:val="0"/>
          <w:color w:val="131313"/>
          <w:spacing w:val="0"/>
          <w:sz w:val="24"/>
          <w:szCs w:val="24"/>
          <w:shd w:val="clear" w:color="auto" w:fill="FFFFFF"/>
          <w:lang w:val="en-US" w:eastAsia="zh-CN"/>
        </w:rPr>
      </w:pPr>
      <w:r>
        <w:rPr>
          <w:rFonts w:hint="eastAsia" w:ascii="宋体" w:hAnsi="宋体" w:cs="宋体"/>
          <w:bCs/>
        </w:rPr>
        <w:t>邮政编码：253300</w:t>
      </w:r>
    </w:p>
    <w:p>
      <w:pPr>
        <w:spacing w:line="360" w:lineRule="auto"/>
        <w:ind w:firstLine="480"/>
        <w:rPr>
          <w:rFonts w:hint="eastAsia" w:ascii="Times New Roman" w:hAnsi="Times New Roman" w:eastAsia="宋体" w:cs="宋体"/>
          <w:i w:val="0"/>
          <w:caps w:val="0"/>
          <w:color w:val="131313"/>
          <w:spacing w:val="0"/>
          <w:sz w:val="24"/>
          <w:szCs w:val="24"/>
          <w:shd w:val="clear" w:color="auto" w:fill="FFFFFF"/>
          <w:lang w:val="en-US" w:eastAsia="zh-CN"/>
        </w:rPr>
      </w:pPr>
      <w:r>
        <w:rPr>
          <w:rFonts w:hint="eastAsia" w:ascii="宋体" w:hAnsi="宋体" w:cs="宋体"/>
          <w:bCs/>
        </w:rPr>
        <w:t>电子</w:t>
      </w:r>
      <w:r>
        <w:rPr>
          <w:rFonts w:hint="eastAsia" w:ascii="宋体" w:hAnsi="宋体" w:cs="宋体"/>
          <w:lang w:val="en-US" w:eastAsia="zh-CN"/>
        </w:rPr>
        <w:t>邮箱</w:t>
      </w:r>
      <w:r>
        <w:rPr>
          <w:rFonts w:hint="eastAsia" w:ascii="宋体" w:hAnsi="宋体" w:cs="宋体"/>
          <w:bCs/>
          <w:lang w:val="en-US" w:eastAsia="zh-CN"/>
        </w:rPr>
        <w:t>：sdxhjt2011@163.com</w:t>
      </w:r>
    </w:p>
    <w:p>
      <w:pPr>
        <w:spacing w:line="360" w:lineRule="auto"/>
        <w:ind w:firstLine="480"/>
        <w:rPr>
          <w:rFonts w:hint="eastAsia" w:ascii="宋体" w:hAnsi="宋体" w:cs="宋体"/>
          <w:color w:val="auto"/>
        </w:rPr>
      </w:pPr>
      <w:r>
        <w:rPr>
          <w:rFonts w:hint="eastAsia" w:ascii="宋体" w:hAnsi="宋体" w:cs="宋体"/>
          <w:color w:val="auto"/>
          <w:lang w:val="en-US" w:eastAsia="zh-CN"/>
        </w:rPr>
        <w:t>信息披露负责人</w:t>
      </w:r>
      <w:r>
        <w:rPr>
          <w:rFonts w:hint="eastAsia" w:ascii="宋体" w:hAnsi="宋体" w:cs="宋体"/>
          <w:color w:val="auto"/>
        </w:rPr>
        <w:t>:姚金菊</w:t>
      </w:r>
    </w:p>
    <w:p>
      <w:pPr>
        <w:spacing w:line="360" w:lineRule="auto"/>
        <w:ind w:firstLine="480"/>
        <w:rPr>
          <w:rFonts w:hint="default" w:ascii="宋体" w:hAnsi="宋体" w:cs="宋体"/>
          <w:bCs/>
          <w:lang w:val="en-US" w:eastAsia="zh-CN"/>
        </w:rPr>
      </w:pPr>
      <w:r>
        <w:rPr>
          <w:rFonts w:hint="eastAsia" w:ascii="宋体" w:hAnsi="宋体" w:cs="宋体"/>
          <w:bCs/>
        </w:rPr>
        <w:t>电话：18866083561</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default" w:ascii="宋体" w:hAnsi="宋体" w:cs="宋体"/>
        </w:rPr>
      </w:pPr>
      <w:bookmarkStart w:id="49" w:name="_Toc20329"/>
      <w:r>
        <w:rPr>
          <w:rFonts w:hint="default" w:ascii="宋体" w:hAnsi="宋体" w:cs="宋体"/>
        </w:rPr>
        <w:t>山东兴恒环境科技集团有限公司，坐落于中国最大的玻璃钢之乡-山东德州鲁权屯开发区,公司拥有消防设施工程专业承包贰级、建筑机电安装工程贰级资质、环保工程三级资质、安全生产许可证;同行业内率先通过ISO9001质量管理体系认证、ISO14001环境管理体系认证、OHSAS18001职业健康管理体系认证；两项发明专利；十六项实用新型专利；环评、安评、三同时等手续齐全。</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cs="宋体"/>
          <w:color w:val="000000"/>
          <w:lang w:val="en-US" w:eastAsia="zh-CN"/>
        </w:rPr>
      </w:pPr>
      <w:r>
        <w:rPr>
          <w:rFonts w:hint="default" w:ascii="宋体" w:hAnsi="宋体" w:cs="宋体"/>
        </w:rPr>
        <w:t>公司规模扩大服务升级以不断满足用户需要为己任，树立以产业化、专业化、现代化的道路发展，秉承以服务优质、品质卓越的经营理念，一路走来得到了社会各界的高度评价和广泛赞誉，被评为中冷盟会员单位、优秀民营企业、重合同守信用企业、先进纳税企业、标准化管理企业等荣誉，我们珍惜来之不易的荣誉，将继续一如既往保证向客户提供高品质的产品。</w:t>
      </w:r>
      <w:r>
        <w:rPr>
          <w:rFonts w:hint="eastAsia" w:ascii="宋体" w:hAnsi="宋体" w:cs="宋体"/>
          <w:lang w:eastAsia="zh-CN"/>
        </w:rPr>
        <w:t>。</w:t>
      </w:r>
    </w:p>
    <w:p>
      <w:pPr>
        <w:pStyle w:val="3"/>
        <w:bidi w:val="0"/>
        <w:ind w:left="0" w:leftChars="0" w:firstLine="482" w:firstLineChars="200"/>
        <w:rPr>
          <w:rFonts w:hint="eastAsia" w:ascii="Times New Roman" w:hAnsi="Times New Roman" w:eastAsia="宋体" w:cs="宋体"/>
          <w:caps w:val="0"/>
          <w:sz w:val="24"/>
          <w:szCs w:val="24"/>
          <w:lang w:eastAsia="zh-CN"/>
        </w:rPr>
      </w:pPr>
      <w:r>
        <w:rPr>
          <w:rFonts w:hint="eastAsia" w:ascii="Times New Roman" w:hAnsi="Times New Roman" w:eastAsia="宋体" w:cs="宋体"/>
          <w:caps w:val="0"/>
          <w:sz w:val="24"/>
          <w:szCs w:val="24"/>
        </w:rPr>
        <w:t>二、公司</w:t>
      </w:r>
      <w:r>
        <w:rPr>
          <w:rFonts w:hint="eastAsia" w:ascii="Times New Roman" w:hAnsi="Times New Roman" w:eastAsia="宋体" w:cs="宋体"/>
          <w:caps w:val="0"/>
          <w:sz w:val="24"/>
          <w:szCs w:val="24"/>
          <w:lang w:eastAsia="zh-CN"/>
        </w:rPr>
        <w:t>目前</w:t>
      </w:r>
      <w:r>
        <w:rPr>
          <w:rFonts w:hint="eastAsia" w:ascii="Times New Roman" w:hAnsi="Times New Roman" w:eastAsia="宋体" w:cs="宋体"/>
          <w:caps w:val="0"/>
          <w:sz w:val="24"/>
          <w:szCs w:val="24"/>
        </w:rPr>
        <w:t>股权结构</w:t>
      </w:r>
      <w:bookmarkEnd w:id="32"/>
      <w:bookmarkEnd w:id="33"/>
      <w:bookmarkEnd w:id="34"/>
      <w:bookmarkEnd w:id="35"/>
      <w:bookmarkEnd w:id="36"/>
      <w:bookmarkEnd w:id="37"/>
      <w:bookmarkEnd w:id="38"/>
      <w:r>
        <w:rPr>
          <w:rFonts w:hint="eastAsia" w:ascii="Times New Roman" w:hAnsi="Times New Roman" w:eastAsia="宋体" w:cs="宋体"/>
          <w:caps w:val="0"/>
          <w:sz w:val="24"/>
          <w:szCs w:val="24"/>
          <w:lang w:eastAsia="zh-CN"/>
        </w:rPr>
        <w:t>及股东情况</w:t>
      </w:r>
      <w:bookmarkEnd w:id="49"/>
    </w:p>
    <w:p>
      <w:pPr>
        <w:spacing w:line="360" w:lineRule="auto"/>
        <w:ind w:firstLine="480"/>
        <w:rPr>
          <w:rFonts w:hint="eastAsia" w:ascii="Times New Roman" w:hAnsi="Times New Roman" w:eastAsia="宋体" w:cs="宋体"/>
          <w:caps w:val="0"/>
        </w:rPr>
      </w:pPr>
      <w:bookmarkStart w:id="50" w:name="_Toc228433056"/>
      <w:bookmarkStart w:id="51" w:name="_Toc228505923"/>
      <w:bookmarkStart w:id="52" w:name="_Toc229469622"/>
      <w:bookmarkStart w:id="53" w:name="_Toc228431325"/>
      <w:bookmarkStart w:id="54" w:name="_Toc236113875"/>
      <w:bookmarkStart w:id="55" w:name="_Toc236113118"/>
      <w:bookmarkStart w:id="56" w:name="_Toc236206515"/>
      <w:r>
        <w:rPr>
          <w:rFonts w:hint="eastAsia" w:ascii="Times New Roman" w:hAnsi="Times New Roman" w:eastAsia="宋体" w:cs="宋体"/>
          <w:caps w:val="0"/>
        </w:rPr>
        <w:t>（一）股权结构</w:t>
      </w:r>
      <w:bookmarkEnd w:id="50"/>
      <w:bookmarkEnd w:id="51"/>
      <w:bookmarkEnd w:id="52"/>
      <w:bookmarkEnd w:id="53"/>
      <w:r>
        <w:rPr>
          <w:rFonts w:hint="eastAsia" w:ascii="Times New Roman" w:hAnsi="Times New Roman" w:eastAsia="宋体" w:cs="宋体"/>
          <w:caps w:val="0"/>
        </w:rPr>
        <w:t>图</w:t>
      </w:r>
    </w:p>
    <w:p>
      <w:pPr>
        <w:spacing w:line="360" w:lineRule="auto"/>
        <w:ind w:firstLine="480"/>
        <w:jc w:val="both"/>
        <w:rPr>
          <w:rFonts w:hint="eastAsia" w:ascii="Times New Roman" w:hAnsi="Times New Roman" w:eastAsia="宋体" w:cs="宋体"/>
          <w:caps w:val="0"/>
        </w:rPr>
      </w:pPr>
      <w:r>
        <w:drawing>
          <wp:inline distT="0" distB="0" distL="114300" distR="114300">
            <wp:extent cx="5270500" cy="1643380"/>
            <wp:effectExtent l="0" t="0" r="6350"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5270500" cy="1643380"/>
                    </a:xfrm>
                    <a:prstGeom prst="rect">
                      <a:avLst/>
                    </a:prstGeom>
                    <a:noFill/>
                    <a:ln>
                      <a:noFill/>
                    </a:ln>
                  </pic:spPr>
                </pic:pic>
              </a:graphicData>
            </a:graphic>
          </wp:inline>
        </w:drawing>
      </w:r>
    </w:p>
    <w:p>
      <w:pPr>
        <w:spacing w:line="360" w:lineRule="auto"/>
        <w:ind w:left="480" w:leftChars="200" w:firstLine="0" w:firstLineChars="0"/>
        <w:rPr>
          <w:rFonts w:hint="eastAsia" w:ascii="Times New Roman" w:hAnsi="Times New Roman" w:eastAsia="宋体"/>
          <w:caps w:val="0"/>
          <w:color w:val="auto"/>
        </w:rPr>
      </w:pPr>
      <w:r>
        <w:rPr>
          <w:rFonts w:hint="eastAsia" w:ascii="Times New Roman" w:hAnsi="Times New Roman" w:eastAsia="宋体" w:cs="宋体"/>
          <w:caps w:val="0"/>
          <w:color w:val="auto"/>
        </w:rPr>
        <w:t>（二）公司控股股东、实际控制人情况</w:t>
      </w:r>
    </w:p>
    <w:p>
      <w:pPr>
        <w:spacing w:line="360" w:lineRule="auto"/>
        <w:ind w:firstLine="480"/>
        <w:rPr>
          <w:rFonts w:hint="eastAsia" w:ascii="宋体" w:hAnsi="宋体" w:cs="宋体"/>
          <w:bCs/>
          <w:lang w:val="en-US" w:eastAsia="zh-CN"/>
        </w:rPr>
      </w:pPr>
      <w:r>
        <w:rPr>
          <w:rFonts w:hint="eastAsia" w:ascii="宋体" w:hAnsi="宋体" w:cs="宋体"/>
          <w:bCs/>
          <w:lang w:val="en-US" w:eastAsia="zh-CN"/>
        </w:rPr>
        <w:t>1、控股股东、实际控制人</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cs="宋体"/>
          <w:color w:val="000000"/>
          <w:lang w:val="en-US" w:eastAsia="zh-CN"/>
        </w:rPr>
      </w:pPr>
      <w:r>
        <w:rPr>
          <w:rFonts w:hint="eastAsia" w:ascii="宋体" w:hAnsi="宋体" w:cs="宋体"/>
          <w:color w:val="000000"/>
          <w:lang w:val="en-US" w:eastAsia="zh-CN"/>
        </w:rPr>
        <w:t>孙东林直接持有公司2500万股，占公司总股本的50.00%，为公司的控股股东。</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cs="宋体"/>
          <w:color w:val="000000"/>
          <w:lang w:val="en-US" w:eastAsia="zh-CN"/>
        </w:rPr>
      </w:pPr>
      <w:r>
        <w:rPr>
          <w:rFonts w:hint="eastAsia" w:ascii="宋体" w:hAnsi="宋体" w:cs="宋体"/>
          <w:color w:val="000000"/>
          <w:lang w:val="en-US" w:eastAsia="zh-CN"/>
        </w:rPr>
        <w:t>孙东斌直接持股公司2300万股，占公司总股本得46.00%，担任公司的执行董事兼总经理；徐恩慧直接持有公司200万股，占公司总股本得4.00%，担任公司的监事，且孙东斌与徐恩慧系夫妻关系，合计持股占公司总股本的50.00%，夫妻可签署一致行动人协议，共同行使公司股东权利，为公司控股股东。</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cs="宋体"/>
          <w:color w:val="000000"/>
          <w:lang w:val="en-US" w:eastAsia="zh-CN"/>
        </w:rPr>
      </w:pPr>
      <w:r>
        <w:rPr>
          <w:rFonts w:hint="eastAsia" w:ascii="宋体" w:hAnsi="宋体" w:cs="宋体"/>
          <w:color w:val="000000"/>
          <w:lang w:val="en-US" w:eastAsia="zh-CN"/>
        </w:rPr>
        <w:t>孙东林为公司的控股股东，与孙东斌系亲兄弟关系，孙东斌担任公司的执行董事兼总经理，其与监事徐恩慧系夫妻关系，共同占公司总股本的50.00%，孙东林、孙东斌与徐恩慧可以签署一致行动人协议，能够在公司的股东会会议文件上签字，能够决定公司各项重大财务和经营决策，且实际负责公司的经营管理。因此认定孙东林、孙东斌、徐恩慧为公司的实际控制人，对公司实施控制。</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cs="宋体"/>
          <w:color w:val="000000"/>
          <w:lang w:val="en-US" w:eastAsia="zh-CN"/>
        </w:rPr>
      </w:pPr>
      <w:r>
        <w:rPr>
          <w:rFonts w:hint="eastAsia" w:ascii="宋体" w:hAnsi="宋体" w:cs="宋体"/>
          <w:color w:val="000000"/>
          <w:lang w:val="en-US" w:eastAsia="zh-CN"/>
        </w:rPr>
        <w:t>孙东林，1969年11月生，汉族，中国国籍，无境外永久居留权，住德州市武城县，2018年3月成为山东兴恒环境科技集团有限公司控股股东，占公司总股本的50.00%。</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cs="宋体"/>
          <w:color w:val="000000"/>
          <w:lang w:val="en-US" w:eastAsia="zh-CN"/>
        </w:rPr>
      </w:pPr>
      <w:r>
        <w:rPr>
          <w:rFonts w:hint="eastAsia" w:ascii="宋体" w:hAnsi="宋体" w:cs="宋体"/>
          <w:color w:val="000000"/>
          <w:lang w:val="en-US" w:eastAsia="zh-CN"/>
        </w:rPr>
        <w:t>孙东斌，1973年2月生，汉族，中国国籍，无境外永久居留权，住德州市武城县，在山东兴恒环境科技集团有限公司担任董事兼总经理职务。</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cs="宋体"/>
          <w:color w:val="000000"/>
          <w:lang w:val="en-US" w:eastAsia="zh-CN"/>
        </w:rPr>
      </w:pPr>
      <w:r>
        <w:rPr>
          <w:rFonts w:hint="eastAsia" w:ascii="宋体" w:hAnsi="宋体" w:cs="宋体"/>
          <w:color w:val="000000"/>
          <w:lang w:val="en-US" w:eastAsia="zh-CN"/>
        </w:rPr>
        <w:t>徐恩慧，1972年2月生，汉族，中国国籍，无境外永久居留权，住德州市武城县，在山东兴恒环境科技集团有限公司担任监事职务。</w:t>
      </w:r>
    </w:p>
    <w:p>
      <w:pPr>
        <w:spacing w:line="360" w:lineRule="auto"/>
        <w:ind w:firstLine="480"/>
        <w:rPr>
          <w:rFonts w:hint="eastAsia" w:ascii="Times New Roman" w:hAnsi="Times New Roman" w:cs="宋体"/>
          <w:caps w:val="0"/>
          <w:color w:val="auto"/>
          <w:sz w:val="24"/>
          <w:lang w:val="en-US" w:eastAsia="zh-CN"/>
        </w:rPr>
      </w:pPr>
      <w:r>
        <w:rPr>
          <w:rFonts w:hint="eastAsia" w:ascii="宋体" w:hAnsi="宋体" w:cs="宋体"/>
          <w:bCs/>
          <w:lang w:val="en-US" w:eastAsia="zh-CN"/>
        </w:rPr>
        <w:t xml:space="preserve"> </w:t>
      </w:r>
      <w:r>
        <w:rPr>
          <w:rFonts w:hint="eastAsia" w:ascii="Times New Roman" w:hAnsi="Times New Roman" w:cs="宋体"/>
          <w:caps w:val="0"/>
          <w:color w:val="auto"/>
          <w:sz w:val="24"/>
          <w:lang w:val="en-US" w:eastAsia="zh-CN"/>
        </w:rPr>
        <w:t xml:space="preserve"> </w:t>
      </w:r>
      <w:bookmarkEnd w:id="54"/>
      <w:bookmarkEnd w:id="55"/>
      <w:bookmarkEnd w:id="56"/>
      <w:bookmarkStart w:id="57" w:name="_Toc14465"/>
      <w:bookmarkStart w:id="58" w:name="_Toc317756561"/>
      <w:bookmarkStart w:id="59" w:name="_Toc346092707"/>
      <w:bookmarkStart w:id="60" w:name="_Toc245701658"/>
      <w:bookmarkStart w:id="61" w:name="_Toc346286121"/>
      <w:bookmarkStart w:id="62" w:name="_Toc347754988"/>
      <w:bookmarkStart w:id="63" w:name="_Toc347823173"/>
      <w:bookmarkStart w:id="64" w:name="_Toc342567485"/>
    </w:p>
    <w:p>
      <w:pPr>
        <w:spacing w:line="360" w:lineRule="auto"/>
        <w:ind w:left="0" w:leftChars="0" w:firstLine="482" w:firstLineChars="200"/>
        <w:rPr>
          <w:rFonts w:hint="eastAsia" w:ascii="Times New Roman" w:hAnsi="Times New Roman" w:eastAsia="宋体" w:cs="宋体"/>
          <w:b/>
          <w:bCs/>
          <w:caps w:val="0"/>
          <w:kern w:val="2"/>
          <w:sz w:val="24"/>
          <w:szCs w:val="24"/>
          <w:lang w:val="en-US" w:eastAsia="zh-CN" w:bidi="ar-SA"/>
        </w:rPr>
      </w:pPr>
      <w:r>
        <w:rPr>
          <w:rFonts w:hint="eastAsia" w:ascii="Times New Roman" w:hAnsi="Times New Roman" w:eastAsia="宋体" w:cs="宋体"/>
          <w:b/>
          <w:bCs/>
          <w:caps w:val="0"/>
          <w:kern w:val="2"/>
          <w:sz w:val="24"/>
          <w:szCs w:val="24"/>
          <w:lang w:val="en-US" w:eastAsia="zh-CN" w:bidi="ar-SA"/>
        </w:rPr>
        <w:t>三、公司组织结构</w:t>
      </w:r>
      <w:bookmarkEnd w:id="57"/>
      <w:bookmarkEnd w:id="58"/>
      <w:bookmarkEnd w:id="59"/>
      <w:bookmarkEnd w:id="60"/>
      <w:bookmarkEnd w:id="61"/>
      <w:bookmarkEnd w:id="62"/>
      <w:bookmarkEnd w:id="63"/>
      <w:bookmarkEnd w:id="64"/>
      <w:bookmarkStart w:id="65" w:name="_Toc347823181"/>
      <w:bookmarkStart w:id="66" w:name="_Toc346092715"/>
      <w:bookmarkStart w:id="67" w:name="_Toc342567492"/>
      <w:bookmarkStart w:id="68" w:name="_Toc347754996"/>
      <w:bookmarkStart w:id="69" w:name="_Toc346286129"/>
      <w:bookmarkStart w:id="70" w:name="_Toc317756570"/>
    </w:p>
    <w:p>
      <w:pPr>
        <w:ind w:left="0" w:leftChars="0" w:firstLine="480" w:firstLineChars="200"/>
        <w:jc w:val="center"/>
        <w:rPr>
          <w:rFonts w:hint="eastAsia" w:ascii="Times New Roman" w:hAnsi="Times New Roman" w:eastAsia="宋体" w:cs="宋体"/>
          <w:caps w:val="0"/>
          <w:color w:val="000000"/>
          <w:lang w:eastAsia="zh-CN"/>
        </w:rPr>
      </w:pPr>
      <w:r>
        <w:drawing>
          <wp:inline distT="0" distB="0" distL="114300" distR="114300">
            <wp:extent cx="4524375" cy="4381500"/>
            <wp:effectExtent l="0" t="0" r="952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tretch>
                      <a:fillRect/>
                    </a:stretch>
                  </pic:blipFill>
                  <pic:spPr>
                    <a:xfrm>
                      <a:off x="0" y="0"/>
                      <a:ext cx="4524375" cy="4381500"/>
                    </a:xfrm>
                    <a:prstGeom prst="rect">
                      <a:avLst/>
                    </a:prstGeom>
                    <a:noFill/>
                    <a:ln>
                      <a:noFill/>
                    </a:ln>
                  </pic:spPr>
                </pic:pic>
              </a:graphicData>
            </a:graphic>
          </wp:inline>
        </w:drawing>
      </w:r>
    </w:p>
    <w:p>
      <w:pPr>
        <w:ind w:left="0" w:leftChars="0" w:firstLine="480" w:firstLineChars="200"/>
        <w:rPr>
          <w:rFonts w:hint="eastAsia" w:ascii="Times New Roman" w:hAnsi="Times New Roman" w:eastAsia="宋体" w:cs="宋体"/>
          <w:caps w:val="0"/>
          <w:color w:val="000000"/>
          <w:lang w:eastAsia="zh-CN"/>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cs="宋体"/>
          <w:color w:val="000000"/>
        </w:rPr>
      </w:pPr>
      <w:bookmarkStart w:id="71" w:name="_Toc20223"/>
      <w:r>
        <w:rPr>
          <w:rFonts w:hint="eastAsia" w:ascii="宋体" w:hAnsi="宋体" w:cs="宋体"/>
          <w:color w:val="000000"/>
          <w:lang w:val="en-US" w:eastAsia="zh-CN"/>
        </w:rPr>
        <w:t>兴恒环境</w:t>
      </w:r>
      <w:bookmarkStart w:id="85" w:name="_GoBack"/>
      <w:bookmarkEnd w:id="85"/>
      <w:r>
        <w:rPr>
          <w:rFonts w:hint="eastAsia" w:ascii="宋体" w:hAnsi="宋体" w:cs="宋体"/>
          <w:color w:val="000000"/>
        </w:rPr>
        <w:t>依照《公司法》的规定，已建立完善的法人治</w:t>
      </w:r>
      <w:r>
        <w:rPr>
          <w:rFonts w:hint="eastAsia" w:ascii="宋体" w:hAnsi="宋体" w:cs="宋体"/>
          <w:color w:val="auto"/>
        </w:rPr>
        <w:t>理结构（包括股东会、</w:t>
      </w:r>
      <w:r>
        <w:rPr>
          <w:rFonts w:hint="eastAsia" w:ascii="宋体" w:hAnsi="宋体" w:cs="宋体"/>
          <w:color w:val="auto"/>
          <w:lang w:val="en-US" w:eastAsia="zh-CN"/>
        </w:rPr>
        <w:t>执行董事</w:t>
      </w:r>
      <w:r>
        <w:rPr>
          <w:rFonts w:hint="eastAsia" w:ascii="宋体" w:hAnsi="宋体" w:cs="宋体"/>
          <w:color w:val="auto"/>
        </w:rPr>
        <w:t>、</w:t>
      </w:r>
      <w:r>
        <w:rPr>
          <w:rFonts w:hint="eastAsia" w:ascii="宋体" w:hAnsi="宋体" w:cs="宋体"/>
          <w:color w:val="auto"/>
          <w:lang w:val="en-US" w:eastAsia="zh-CN"/>
        </w:rPr>
        <w:t>监事、</w:t>
      </w:r>
      <w:r>
        <w:rPr>
          <w:rFonts w:hint="eastAsia" w:ascii="宋体" w:hAnsi="宋体" w:cs="宋体"/>
          <w:color w:val="auto"/>
        </w:rPr>
        <w:t>总经理等）</w:t>
      </w:r>
      <w:r>
        <w:rPr>
          <w:rFonts w:hint="eastAsia" w:ascii="宋体" w:hAnsi="宋体" w:cs="宋体"/>
          <w:color w:val="000000"/>
        </w:rPr>
        <w:t>，设立了</w:t>
      </w:r>
      <w:r>
        <w:rPr>
          <w:rFonts w:hint="eastAsia" w:ascii="宋体" w:hAnsi="宋体" w:cs="宋体"/>
          <w:lang w:val="en-US" w:eastAsia="zh-CN"/>
        </w:rPr>
        <w:t>生产部、财务部、人力资源部、采购部、销售部</w:t>
      </w:r>
      <w:r>
        <w:rPr>
          <w:rFonts w:hint="eastAsia" w:ascii="宋体" w:hAnsi="宋体" w:cs="宋体"/>
          <w:color w:val="000000"/>
        </w:rPr>
        <w:t>等</w:t>
      </w:r>
      <w:r>
        <w:rPr>
          <w:rFonts w:hint="eastAsia" w:ascii="宋体" w:hAnsi="宋体" w:cs="宋体"/>
          <w:color w:val="000000"/>
          <w:lang w:val="en-US" w:eastAsia="zh-CN"/>
        </w:rPr>
        <w:t>五</w:t>
      </w:r>
      <w:r>
        <w:rPr>
          <w:rFonts w:hint="eastAsia" w:ascii="宋体" w:hAnsi="宋体" w:cs="宋体"/>
          <w:color w:val="000000"/>
        </w:rPr>
        <w:t>个主要职能部门。经理层及各主要部门相关职责如下：</w:t>
      </w:r>
    </w:p>
    <w:p>
      <w:pPr>
        <w:numPr>
          <w:ilvl w:val="0"/>
          <w:numId w:val="1"/>
        </w:numPr>
        <w:rPr>
          <w:rFonts w:hint="eastAsia"/>
          <w:color w:val="auto"/>
          <w:sz w:val="24"/>
          <w:szCs w:val="24"/>
          <w:lang w:val="en-US" w:eastAsia="zh-CN"/>
        </w:rPr>
      </w:pPr>
      <w:r>
        <w:rPr>
          <w:rFonts w:hint="eastAsia"/>
          <w:color w:val="auto"/>
          <w:sz w:val="24"/>
          <w:szCs w:val="24"/>
          <w:lang w:val="en-US" w:eastAsia="zh-CN"/>
        </w:rPr>
        <w:t>经理：</w:t>
      </w:r>
    </w:p>
    <w:p>
      <w:pPr>
        <w:rPr>
          <w:rFonts w:hint="default"/>
          <w:color w:val="auto"/>
          <w:sz w:val="24"/>
          <w:szCs w:val="24"/>
          <w:lang w:val="en-US" w:eastAsia="zh-CN"/>
        </w:rPr>
      </w:pPr>
      <w:r>
        <w:rPr>
          <w:rFonts w:hint="eastAsia"/>
          <w:color w:val="auto"/>
          <w:sz w:val="24"/>
          <w:szCs w:val="24"/>
          <w:lang w:val="en-US" w:eastAsia="zh-CN"/>
        </w:rPr>
        <w:t xml:space="preserve">   经理对股东会负责，行使下列职责：</w:t>
      </w:r>
    </w:p>
    <w:p>
      <w:pPr>
        <w:numPr>
          <w:ilvl w:val="0"/>
          <w:numId w:val="2"/>
        </w:numPr>
        <w:rPr>
          <w:rFonts w:hint="eastAsia"/>
          <w:color w:val="auto"/>
          <w:sz w:val="24"/>
          <w:szCs w:val="24"/>
          <w:lang w:val="en-US" w:eastAsia="zh-CN"/>
        </w:rPr>
      </w:pPr>
      <w:r>
        <w:rPr>
          <w:rFonts w:hint="eastAsia"/>
          <w:color w:val="auto"/>
          <w:sz w:val="24"/>
          <w:szCs w:val="24"/>
          <w:lang w:val="en-US" w:eastAsia="zh-CN"/>
        </w:rPr>
        <w:t>主持公司的生产经营管理工作；</w:t>
      </w:r>
    </w:p>
    <w:p>
      <w:pPr>
        <w:numPr>
          <w:ilvl w:val="0"/>
          <w:numId w:val="2"/>
        </w:numPr>
        <w:rPr>
          <w:rFonts w:hint="default"/>
          <w:color w:val="auto"/>
          <w:sz w:val="24"/>
          <w:szCs w:val="24"/>
          <w:lang w:val="en-US" w:eastAsia="zh-CN"/>
        </w:rPr>
      </w:pPr>
      <w:r>
        <w:rPr>
          <w:rFonts w:hint="eastAsia"/>
          <w:color w:val="auto"/>
          <w:sz w:val="24"/>
          <w:szCs w:val="24"/>
          <w:lang w:val="en-US" w:eastAsia="zh-CN"/>
        </w:rPr>
        <w:t>组织实施公司年度经营计划和投资方案；</w:t>
      </w:r>
    </w:p>
    <w:p>
      <w:pPr>
        <w:numPr>
          <w:ilvl w:val="0"/>
          <w:numId w:val="2"/>
        </w:numPr>
        <w:rPr>
          <w:rFonts w:hint="default"/>
          <w:color w:val="auto"/>
          <w:sz w:val="24"/>
          <w:szCs w:val="24"/>
          <w:lang w:val="en-US" w:eastAsia="zh-CN"/>
        </w:rPr>
      </w:pPr>
      <w:r>
        <w:rPr>
          <w:rFonts w:hint="eastAsia"/>
          <w:color w:val="auto"/>
          <w:sz w:val="24"/>
          <w:szCs w:val="24"/>
          <w:lang w:val="en-US" w:eastAsia="zh-CN"/>
        </w:rPr>
        <w:t>拟定公司内部管理机构设置方案；</w:t>
      </w:r>
    </w:p>
    <w:p>
      <w:pPr>
        <w:numPr>
          <w:ilvl w:val="0"/>
          <w:numId w:val="2"/>
        </w:numPr>
        <w:rPr>
          <w:rFonts w:hint="default"/>
          <w:color w:val="auto"/>
          <w:sz w:val="24"/>
          <w:szCs w:val="24"/>
          <w:lang w:val="en-US" w:eastAsia="zh-CN"/>
        </w:rPr>
      </w:pPr>
      <w:r>
        <w:rPr>
          <w:rFonts w:hint="eastAsia"/>
          <w:color w:val="auto"/>
          <w:sz w:val="24"/>
          <w:szCs w:val="24"/>
          <w:lang w:val="en-US" w:eastAsia="zh-CN"/>
        </w:rPr>
        <w:t>拟定公司的基本管理制度；</w:t>
      </w:r>
    </w:p>
    <w:p>
      <w:pPr>
        <w:numPr>
          <w:ilvl w:val="0"/>
          <w:numId w:val="2"/>
        </w:numPr>
        <w:rPr>
          <w:rFonts w:hint="default"/>
          <w:color w:val="auto"/>
          <w:sz w:val="24"/>
          <w:szCs w:val="24"/>
          <w:lang w:val="en-US" w:eastAsia="zh-CN"/>
        </w:rPr>
      </w:pPr>
      <w:r>
        <w:rPr>
          <w:rFonts w:hint="eastAsia"/>
          <w:color w:val="auto"/>
          <w:sz w:val="24"/>
          <w:szCs w:val="24"/>
          <w:lang w:val="en-US" w:eastAsia="zh-CN"/>
        </w:rPr>
        <w:t>制定公司的具体规章；</w:t>
      </w:r>
    </w:p>
    <w:p>
      <w:pPr>
        <w:numPr>
          <w:ilvl w:val="0"/>
          <w:numId w:val="2"/>
        </w:numPr>
        <w:rPr>
          <w:rFonts w:hint="default"/>
          <w:color w:val="auto"/>
          <w:sz w:val="24"/>
          <w:szCs w:val="24"/>
          <w:lang w:val="en-US" w:eastAsia="zh-CN"/>
        </w:rPr>
      </w:pPr>
      <w:r>
        <w:rPr>
          <w:rFonts w:hint="eastAsia"/>
          <w:color w:val="auto"/>
          <w:sz w:val="24"/>
          <w:szCs w:val="24"/>
          <w:lang w:val="en-US" w:eastAsia="zh-CN"/>
        </w:rPr>
        <w:t>提请聘任或者解聘公司副经理，财务负责人；</w:t>
      </w:r>
    </w:p>
    <w:p>
      <w:pPr>
        <w:numPr>
          <w:ilvl w:val="0"/>
          <w:numId w:val="0"/>
        </w:numPr>
        <w:ind w:firstLine="480" w:firstLineChars="200"/>
        <w:rPr>
          <w:rFonts w:hint="default"/>
          <w:color w:val="0000FF"/>
          <w:sz w:val="24"/>
          <w:szCs w:val="24"/>
          <w:lang w:val="en-US" w:eastAsia="zh-CN"/>
        </w:rPr>
      </w:pPr>
      <w:r>
        <w:rPr>
          <w:rFonts w:hint="eastAsia"/>
          <w:color w:val="auto"/>
          <w:sz w:val="24"/>
          <w:szCs w:val="24"/>
          <w:lang w:val="en-US" w:eastAsia="zh-CN"/>
        </w:rPr>
        <w:t>（7）聘任或者解聘除应由执行董事聘任或者解聘以外的负责管理人员；</w:t>
      </w:r>
    </w:p>
    <w:p>
      <w:pPr>
        <w:rPr>
          <w:rFonts w:hint="eastAsia" w:ascii="宋体" w:hAnsi="宋体" w:cs="宋体"/>
          <w:color w:val="000000"/>
          <w:lang w:val="en-US" w:eastAsia="zh-CN"/>
        </w:rPr>
      </w:pPr>
      <w:r>
        <w:rPr>
          <w:rFonts w:hint="eastAsia" w:ascii="宋体" w:hAnsi="宋体" w:cs="宋体"/>
          <w:color w:val="000000"/>
          <w:lang w:val="en-US" w:eastAsia="zh-CN"/>
        </w:rPr>
        <w:t>2、生产部的职责主要包括：</w:t>
      </w:r>
    </w:p>
    <w:p>
      <w:pPr>
        <w:rPr>
          <w:rFonts w:hint="eastAsia"/>
          <w:sz w:val="24"/>
          <w:szCs w:val="24"/>
          <w:lang w:val="en-US" w:eastAsia="zh-CN"/>
        </w:rPr>
      </w:pPr>
      <w:r>
        <w:rPr>
          <w:rFonts w:hint="eastAsia"/>
          <w:sz w:val="24"/>
          <w:szCs w:val="24"/>
          <w:lang w:val="en-US" w:eastAsia="zh-CN"/>
        </w:rPr>
        <w:t>（1）负责生产计划的编制，组织生产按计划进行，监督公司运营工作；</w:t>
      </w:r>
    </w:p>
    <w:p>
      <w:pPr>
        <w:rPr>
          <w:rFonts w:hint="eastAsia"/>
          <w:sz w:val="24"/>
          <w:szCs w:val="24"/>
          <w:lang w:val="en-US" w:eastAsia="zh-CN"/>
        </w:rPr>
      </w:pPr>
      <w:r>
        <w:rPr>
          <w:rFonts w:hint="eastAsia"/>
          <w:sz w:val="24"/>
          <w:szCs w:val="24"/>
          <w:lang w:val="en-US" w:eastAsia="zh-CN"/>
        </w:rPr>
        <w:t>（2）与其他部门能够很好地沟通和协调配合，对物资供应发生异常情况和生产任务的临时调整变动，均能较好的与有关部门协调处理；</w:t>
      </w:r>
    </w:p>
    <w:p>
      <w:pPr>
        <w:rPr>
          <w:rFonts w:hint="eastAsia"/>
          <w:sz w:val="24"/>
          <w:szCs w:val="24"/>
          <w:lang w:val="en-US" w:eastAsia="zh-CN"/>
        </w:rPr>
      </w:pPr>
      <w:r>
        <w:rPr>
          <w:rFonts w:hint="eastAsia"/>
          <w:sz w:val="24"/>
          <w:szCs w:val="24"/>
          <w:lang w:val="en-US" w:eastAsia="zh-CN"/>
        </w:rPr>
        <w:t xml:space="preserve">（3）加强产品的质量监督，确保产品符合规定要求； </w:t>
      </w:r>
    </w:p>
    <w:p>
      <w:pPr>
        <w:rPr>
          <w:rFonts w:hint="eastAsia" w:ascii="宋体" w:hAnsi="宋体" w:cs="宋体"/>
          <w:color w:val="000000"/>
          <w:lang w:val="en-US" w:eastAsia="zh-CN"/>
        </w:rPr>
      </w:pPr>
      <w:r>
        <w:rPr>
          <w:rFonts w:hint="eastAsia" w:ascii="宋体" w:hAnsi="宋体" w:cs="宋体"/>
          <w:color w:val="000000"/>
          <w:lang w:val="en-US" w:eastAsia="zh-CN"/>
        </w:rPr>
        <w:t>3、财务部的职责主要包括：</w:t>
      </w:r>
    </w:p>
    <w:p>
      <w:pPr>
        <w:rPr>
          <w:rFonts w:hint="default"/>
          <w:sz w:val="24"/>
          <w:szCs w:val="24"/>
          <w:lang w:val="en-US" w:eastAsia="zh-CN"/>
        </w:rPr>
      </w:pPr>
      <w:r>
        <w:rPr>
          <w:rFonts w:hint="eastAsia"/>
          <w:sz w:val="24"/>
          <w:szCs w:val="24"/>
          <w:lang w:val="en-US" w:eastAsia="zh-CN"/>
        </w:rPr>
        <w:t>（1）审核凭证，登记账簿，正确编制财务报表，为企业做出决策提供重要依据；</w:t>
      </w:r>
    </w:p>
    <w:p>
      <w:pPr>
        <w:rPr>
          <w:rFonts w:hint="eastAsia"/>
          <w:sz w:val="24"/>
          <w:szCs w:val="24"/>
          <w:lang w:val="en-US" w:eastAsia="zh-CN"/>
        </w:rPr>
      </w:pPr>
      <w:r>
        <w:rPr>
          <w:rFonts w:hint="eastAsia"/>
          <w:sz w:val="24"/>
          <w:szCs w:val="24"/>
          <w:lang w:val="en-US" w:eastAsia="zh-CN"/>
        </w:rPr>
        <w:t>（2）分析各项财务执行情况和相关经济指标，提交财务分析报告并提出决策建议，以便上级掌握全公司财务状况、经营成果和发展动态，更好的做出经营决策；</w:t>
      </w:r>
    </w:p>
    <w:p>
      <w:pPr>
        <w:rPr>
          <w:rFonts w:hint="eastAsia"/>
          <w:sz w:val="24"/>
          <w:szCs w:val="24"/>
          <w:lang w:val="en-US" w:eastAsia="zh-CN"/>
        </w:rPr>
      </w:pPr>
      <w:r>
        <w:rPr>
          <w:rFonts w:hint="eastAsia"/>
          <w:sz w:val="24"/>
          <w:szCs w:val="24"/>
          <w:lang w:val="en-US" w:eastAsia="zh-CN"/>
        </w:rPr>
        <w:t>（3）对全公司整体进行财务规划和税收筹划，保证本公司财务运作的可持续发展；</w:t>
      </w:r>
    </w:p>
    <w:p>
      <w:pPr>
        <w:rPr>
          <w:rFonts w:hint="eastAsia"/>
          <w:sz w:val="24"/>
          <w:szCs w:val="24"/>
          <w:lang w:val="en-US" w:eastAsia="zh-CN"/>
        </w:rPr>
      </w:pPr>
      <w:r>
        <w:rPr>
          <w:rFonts w:hint="eastAsia"/>
          <w:sz w:val="24"/>
          <w:szCs w:val="24"/>
          <w:lang w:val="en-US" w:eastAsia="zh-CN"/>
        </w:rPr>
        <w:t>（4）配合上级各有关部门对本公司财务会计工作的审计，确保审计工作的顺利完成。</w:t>
      </w:r>
    </w:p>
    <w:p>
      <w:pPr>
        <w:rPr>
          <w:rFonts w:hint="eastAsia"/>
          <w:sz w:val="24"/>
          <w:szCs w:val="24"/>
          <w:lang w:val="en-US" w:eastAsia="zh-CN"/>
        </w:rPr>
      </w:pPr>
      <w:r>
        <w:rPr>
          <w:rFonts w:hint="eastAsia" w:ascii="宋体" w:hAnsi="宋体" w:cs="宋体"/>
          <w:color w:val="000000"/>
          <w:lang w:val="en-US" w:eastAsia="zh-CN"/>
        </w:rPr>
        <w:t>4、采购部的职责主要包括：</w:t>
      </w:r>
      <w:r>
        <w:rPr>
          <w:rFonts w:hint="eastAsia" w:ascii="宋体" w:hAnsi="宋体" w:cs="宋体"/>
          <w:color w:val="000000"/>
          <w:lang w:val="en-US" w:eastAsia="zh-CN"/>
        </w:rPr>
        <w:br w:type="textWrapping"/>
      </w:r>
      <w:r>
        <w:rPr>
          <w:rFonts w:hint="eastAsia" w:ascii="宋体" w:hAnsi="宋体" w:cs="宋体"/>
          <w:color w:val="000000"/>
          <w:lang w:val="en-US" w:eastAsia="zh-CN"/>
        </w:rPr>
        <w:t xml:space="preserve">   </w:t>
      </w:r>
      <w:r>
        <w:rPr>
          <w:rFonts w:hint="eastAsia"/>
          <w:sz w:val="24"/>
          <w:szCs w:val="24"/>
          <w:lang w:val="en-US" w:eastAsia="zh-CN"/>
        </w:rPr>
        <w:t xml:space="preserve"> （1）负责公司采购业务方面的管理，完成公司下达的采购指标和业务目标； </w:t>
      </w:r>
    </w:p>
    <w:p>
      <w:pPr>
        <w:rPr>
          <w:rFonts w:hint="eastAsia"/>
          <w:sz w:val="24"/>
          <w:szCs w:val="24"/>
          <w:lang w:val="en-US" w:eastAsia="zh-CN"/>
        </w:rPr>
      </w:pPr>
      <w:r>
        <w:rPr>
          <w:rFonts w:hint="eastAsia"/>
          <w:sz w:val="24"/>
          <w:szCs w:val="24"/>
          <w:lang w:val="en-US" w:eastAsia="zh-CN"/>
        </w:rPr>
        <w:t>（2）负责建立完整、严密的采购管理制度，规范采购工作流程、工作规范及各项采购业务标准，并监督检查执行情况；</w:t>
      </w:r>
    </w:p>
    <w:p>
      <w:pPr>
        <w:rPr>
          <w:rFonts w:hint="eastAsia"/>
          <w:sz w:val="24"/>
          <w:szCs w:val="24"/>
          <w:lang w:val="en-US" w:eastAsia="zh-CN"/>
        </w:rPr>
      </w:pPr>
      <w:r>
        <w:rPr>
          <w:rFonts w:hint="eastAsia"/>
          <w:sz w:val="24"/>
          <w:szCs w:val="24"/>
          <w:lang w:val="en-US" w:eastAsia="zh-CN"/>
        </w:rPr>
        <w:t>（3）负责年度采购指标的分解并组织实施日常采购工作。</w:t>
      </w:r>
    </w:p>
    <w:p>
      <w:pPr>
        <w:rPr>
          <w:rFonts w:hint="eastAsia" w:ascii="宋体" w:hAnsi="宋体" w:cs="宋体"/>
          <w:color w:val="000000"/>
          <w:lang w:val="en-US" w:eastAsia="zh-CN"/>
        </w:rPr>
      </w:pPr>
      <w:r>
        <w:rPr>
          <w:rFonts w:hint="eastAsia" w:ascii="宋体" w:hAnsi="宋体" w:cs="宋体"/>
          <w:color w:val="000000"/>
          <w:lang w:val="en-US" w:eastAsia="zh-CN"/>
        </w:rPr>
        <w:t>5、人力资源部的职责主要包括：</w:t>
      </w:r>
    </w:p>
    <w:p>
      <w:pPr>
        <w:rPr>
          <w:rFonts w:hint="eastAsia" w:ascii="宋体" w:hAnsi="宋体" w:cs="宋体"/>
          <w:color w:val="000000"/>
          <w:lang w:val="en-US" w:eastAsia="zh-CN"/>
        </w:rPr>
      </w:pPr>
      <w:r>
        <w:rPr>
          <w:rFonts w:hint="eastAsia" w:ascii="宋体" w:hAnsi="宋体" w:cs="宋体"/>
          <w:color w:val="000000"/>
          <w:lang w:val="en-US" w:eastAsia="zh-CN"/>
        </w:rPr>
        <w:t>（1）制订、修改单位各项人力资源管理制度和管理办法,建立制度化、规范化、科学化的人力资源管理体系；</w:t>
      </w:r>
    </w:p>
    <w:p>
      <w:pPr>
        <w:rPr>
          <w:rFonts w:hint="eastAsia" w:ascii="宋体" w:hAnsi="宋体" w:cs="宋体"/>
          <w:color w:val="000000"/>
          <w:lang w:val="en-US" w:eastAsia="zh-CN"/>
        </w:rPr>
      </w:pPr>
      <w:r>
        <w:rPr>
          <w:rFonts w:hint="eastAsia" w:ascii="宋体" w:hAnsi="宋体" w:cs="宋体"/>
          <w:color w:val="000000"/>
          <w:lang w:val="en-US" w:eastAsia="zh-CN"/>
        </w:rPr>
        <w:t>（2）根据单位发展战略,分析单位现有人力资源状况,预测人员需求,制定、修改人力资源规划,经上级领导审批后实施；</w:t>
      </w:r>
    </w:p>
    <w:p>
      <w:pPr>
        <w:rPr>
          <w:rFonts w:hint="eastAsia" w:ascii="宋体" w:hAnsi="宋体" w:cs="宋体"/>
          <w:color w:val="000000"/>
          <w:lang w:val="en-US" w:eastAsia="zh-CN"/>
        </w:rPr>
      </w:pPr>
      <w:r>
        <w:rPr>
          <w:rFonts w:hint="eastAsia" w:ascii="宋体" w:hAnsi="宋体" w:cs="宋体"/>
          <w:color w:val="000000"/>
          <w:lang w:val="en-US" w:eastAsia="zh-CN"/>
        </w:rPr>
        <w:t>（3）根据岗位需求状况和人力资源规划,制定招聘计划,做好招聘前的准备、招聘实施和招聘后的手续完备等工作。</w:t>
      </w:r>
    </w:p>
    <w:p>
      <w:pPr>
        <w:rPr>
          <w:rFonts w:hint="eastAsia" w:ascii="宋体" w:hAnsi="宋体" w:cs="宋体"/>
          <w:color w:val="000000"/>
          <w:lang w:val="en-US" w:eastAsia="zh-CN"/>
        </w:rPr>
      </w:pPr>
      <w:r>
        <w:rPr>
          <w:rFonts w:hint="eastAsia" w:ascii="宋体" w:hAnsi="宋体" w:cs="宋体"/>
          <w:color w:val="000000"/>
          <w:lang w:val="en-US" w:eastAsia="zh-CN"/>
        </w:rPr>
        <w:t>6、销售部的职责主要包括：</w:t>
      </w:r>
    </w:p>
    <w:p>
      <w:pPr>
        <w:rPr>
          <w:rFonts w:hint="eastAsia" w:ascii="宋体" w:hAnsi="宋体" w:cs="宋体"/>
          <w:color w:val="000000"/>
          <w:lang w:val="en-US" w:eastAsia="zh-CN"/>
        </w:rPr>
      </w:pPr>
      <w:r>
        <w:rPr>
          <w:rFonts w:hint="eastAsia" w:ascii="宋体" w:hAnsi="宋体" w:cs="宋体"/>
          <w:color w:val="000000"/>
          <w:lang w:val="en-US" w:eastAsia="zh-CN"/>
        </w:rPr>
        <w:t>（1）定期组织市场调研、收集市场信息、分析市场动向,特点和发展趋势；</w:t>
      </w:r>
    </w:p>
    <w:p>
      <w:pPr>
        <w:rPr>
          <w:rFonts w:hint="eastAsia" w:ascii="宋体" w:hAnsi="宋体" w:cs="宋体"/>
          <w:color w:val="000000"/>
          <w:lang w:val="en-US" w:eastAsia="zh-CN"/>
        </w:rPr>
      </w:pPr>
      <w:r>
        <w:rPr>
          <w:rFonts w:hint="eastAsia" w:ascii="宋体" w:hAnsi="宋体" w:cs="宋体"/>
          <w:color w:val="000000"/>
          <w:lang w:val="en-US" w:eastAsia="zh-CN"/>
        </w:rPr>
        <w:t>（2）确定销售策略、建立销售目标，制定销售计划；</w:t>
      </w:r>
    </w:p>
    <w:p>
      <w:pPr>
        <w:rPr>
          <w:rFonts w:hint="default"/>
          <w:sz w:val="24"/>
          <w:szCs w:val="24"/>
          <w:lang w:val="en-US" w:eastAsia="zh-CN"/>
        </w:rPr>
      </w:pPr>
      <w:r>
        <w:rPr>
          <w:rFonts w:hint="eastAsia" w:ascii="宋体" w:hAnsi="宋体" w:cs="宋体"/>
          <w:color w:val="000000"/>
          <w:lang w:val="en-US" w:eastAsia="zh-CN"/>
        </w:rPr>
        <w:t>（3）管理销售活动，制定销售管理制度、工作程序，并监督贯彻实施。</w:t>
      </w:r>
    </w:p>
    <w:p>
      <w:pPr>
        <w:pStyle w:val="3"/>
        <w:bidi w:val="0"/>
        <w:ind w:left="0" w:leftChars="0" w:firstLine="482" w:firstLineChars="200"/>
        <w:rPr>
          <w:rFonts w:hint="eastAsia" w:ascii="Times New Roman" w:hAnsi="Times New Roman" w:eastAsia="宋体" w:cs="宋体"/>
          <w:caps w:val="0"/>
          <w:sz w:val="24"/>
          <w:szCs w:val="24"/>
          <w:lang w:eastAsia="zh-CN"/>
        </w:rPr>
      </w:pPr>
      <w:r>
        <w:rPr>
          <w:rFonts w:hint="eastAsia" w:ascii="Times New Roman" w:hAnsi="Times New Roman" w:eastAsia="宋体" w:cs="宋体"/>
          <w:caps w:val="0"/>
          <w:sz w:val="24"/>
          <w:szCs w:val="24"/>
          <w:lang w:eastAsia="zh-CN"/>
        </w:rPr>
        <w:t>四、公司主营业务情况</w:t>
      </w:r>
      <w:bookmarkEnd w:id="65"/>
      <w:bookmarkEnd w:id="66"/>
      <w:bookmarkEnd w:id="67"/>
      <w:bookmarkEnd w:id="68"/>
      <w:bookmarkEnd w:id="69"/>
      <w:bookmarkEnd w:id="70"/>
      <w:bookmarkEnd w:id="71"/>
    </w:p>
    <w:p>
      <w:pPr>
        <w:spacing w:line="360" w:lineRule="auto"/>
        <w:ind w:firstLine="480"/>
        <w:rPr>
          <w:rFonts w:hint="eastAsia" w:ascii="宋体" w:hAnsi="宋体" w:cs="宋体"/>
          <w:color w:val="000000"/>
        </w:rPr>
      </w:pPr>
      <w:bookmarkStart w:id="72" w:name="_Toc465241475"/>
      <w:r>
        <w:rPr>
          <w:rFonts w:hint="eastAsia" w:ascii="宋体" w:hAnsi="宋体" w:cs="宋体"/>
          <w:color w:val="000000"/>
        </w:rPr>
        <w:t>（一）公司主要业务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000000"/>
        </w:rPr>
      </w:pPr>
      <w:r>
        <w:rPr>
          <w:rFonts w:hint="eastAsia" w:ascii="宋体" w:hAnsi="宋体" w:cs="宋体"/>
          <w:color w:val="000000"/>
        </w:rPr>
        <w:t>公司自成立以来，主营业务一直</w:t>
      </w:r>
      <w:r>
        <w:rPr>
          <w:rFonts w:hint="eastAsia" w:ascii="宋体" w:hAnsi="宋体" w:cs="宋体"/>
          <w:color w:val="000000"/>
          <w:lang w:val="en-US" w:eastAsia="zh-CN"/>
        </w:rPr>
        <w:t>是风冷模块机组、水冷螺杆式机组、空气处理机组、风机盘管机组系列、风机系列、3CF系列、风管系列、电机系列、冷却塔系列、缠绕系列产品150个规格型号的研发、生产、销售等</w:t>
      </w:r>
      <w:r>
        <w:rPr>
          <w:rFonts w:hint="eastAsia" w:ascii="宋体" w:hAnsi="宋体" w:cs="宋体"/>
          <w:color w:val="auto"/>
          <w:lang w:val="en-US" w:eastAsia="zh-CN"/>
        </w:rPr>
        <w:t>，</w:t>
      </w:r>
      <w:r>
        <w:rPr>
          <w:rFonts w:hint="eastAsia" w:ascii="宋体" w:hAnsi="宋体" w:cs="宋体"/>
          <w:color w:val="auto"/>
        </w:rPr>
        <w:t>报告期内，公司主营业务未发生变化</w:t>
      </w:r>
      <w:r>
        <w:rPr>
          <w:rFonts w:hint="eastAsia" w:ascii="宋体" w:hAnsi="宋体" w:cs="宋体"/>
          <w:color w:val="000000"/>
        </w:rPr>
        <w:t>。</w:t>
      </w:r>
    </w:p>
    <w:p>
      <w:pPr>
        <w:spacing w:line="360" w:lineRule="auto"/>
        <w:ind w:firstLine="480"/>
        <w:rPr>
          <w:rFonts w:hint="eastAsia" w:ascii="Times New Roman" w:hAnsi="Times New Roman"/>
          <w:caps w:val="0"/>
          <w:lang w:val="en-US" w:eastAsia="zh-CN"/>
        </w:rPr>
      </w:pPr>
      <w:r>
        <w:rPr>
          <w:rFonts w:hint="eastAsia" w:ascii="Times New Roman" w:hAnsi="Times New Roman"/>
          <w:caps w:val="0"/>
          <w:lang w:val="en-US" w:eastAsia="zh-CN"/>
        </w:rPr>
        <w:t>（二）公司主要业务模式</w:t>
      </w:r>
    </w:p>
    <w:p>
      <w:pPr>
        <w:spacing w:line="360" w:lineRule="auto"/>
        <w:ind w:firstLine="480"/>
        <w:rPr>
          <w:rFonts w:hint="eastAsia" w:ascii="宋体" w:hAnsi="宋体" w:cs="宋体"/>
        </w:rPr>
      </w:pPr>
      <w:bookmarkStart w:id="73" w:name="_Toc2467"/>
      <w:r>
        <w:rPr>
          <w:rFonts w:hint="eastAsia" w:ascii="宋体" w:hAnsi="宋体" w:cs="宋体"/>
          <w:sz w:val="24"/>
          <w:szCs w:val="24"/>
          <w:lang w:val="en-US" w:eastAsia="zh-CN"/>
        </w:rPr>
        <w:t>1、</w:t>
      </w:r>
      <w:r>
        <w:rPr>
          <w:rFonts w:ascii="宋体" w:hAnsi="宋体" w:eastAsia="宋体" w:cs="宋体"/>
          <w:sz w:val="24"/>
          <w:szCs w:val="24"/>
        </w:rPr>
        <w:t>采购模式</w:t>
      </w:r>
    </w:p>
    <w:p>
      <w:pPr>
        <w:numPr>
          <w:ilvl w:val="0"/>
          <w:numId w:val="0"/>
        </w:numPr>
        <w:spacing w:line="360" w:lineRule="auto"/>
        <w:ind w:firstLine="480" w:firstLineChars="200"/>
        <w:rPr>
          <w:rFonts w:hint="eastAsia" w:ascii="宋体" w:hAnsi="宋体" w:cs="宋体"/>
          <w:color w:val="auto"/>
          <w:lang w:val="en-US" w:eastAsia="zh-CN"/>
        </w:rPr>
      </w:pPr>
      <w:r>
        <w:rPr>
          <w:rFonts w:hint="eastAsia" w:ascii="宋体" w:hAnsi="宋体" w:cs="宋体"/>
          <w:color w:val="auto"/>
          <w:lang w:val="en-US" w:eastAsia="zh-CN"/>
        </w:rPr>
        <w:t>公司原材料采购一般按照以销定产、以产定购的模式，根据客户订单进行采购，主要包括制订采购计划、下达采购订单以及交付货款等环节。公司采购主要以项目类产品采购为主。项目类产品指公司承接项目、实现解决方案所需的产品，包括软件和硬件，占公司采购产品的大部分。</w:t>
      </w:r>
    </w:p>
    <w:p>
      <w:pPr>
        <w:numPr>
          <w:ilvl w:val="0"/>
          <w:numId w:val="0"/>
        </w:numPr>
        <w:spacing w:line="360" w:lineRule="auto"/>
        <w:ind w:firstLine="480" w:firstLineChars="200"/>
        <w:rPr>
          <w:rFonts w:hint="eastAsia" w:ascii="宋体" w:hAnsi="宋体" w:cs="宋体"/>
          <w:color w:val="auto"/>
          <w:lang w:val="en-US" w:eastAsia="zh-CN"/>
        </w:rPr>
      </w:pPr>
      <w:r>
        <w:rPr>
          <w:rFonts w:hint="eastAsia" w:ascii="宋体" w:hAnsi="宋体" w:cs="宋体"/>
          <w:color w:val="auto"/>
          <w:lang w:val="en-US" w:eastAsia="zh-CN"/>
        </w:rPr>
        <w:t>公司采购主要为原材料及零配件采购，采购项目包括电缆、复合材料、玻璃钢等材料，这些产品生产厂家众多，市场供应充足，由公司根据生产需求的情况进行采购。公司结合市场和客户需求、供应商技术能力、合作时间、报价、及交货周期等因素，挑选合适的供应商下达采购订单，通常每种零配件会挑选 2-3 家合格供应商。公司根据产品的市场价格倒推采购价格，向供应商下达采购订。</w:t>
      </w:r>
    </w:p>
    <w:p>
      <w:pPr>
        <w:numPr>
          <w:ilvl w:val="0"/>
          <w:numId w:val="0"/>
        </w:numPr>
        <w:spacing w:line="360" w:lineRule="auto"/>
        <w:ind w:firstLine="480" w:firstLineChars="200"/>
        <w:rPr>
          <w:rFonts w:hint="eastAsia" w:ascii="宋体" w:hAnsi="宋体" w:cs="宋体"/>
          <w:color w:val="auto"/>
          <w:lang w:val="en-US" w:eastAsia="zh-CN"/>
        </w:rPr>
      </w:pPr>
      <w:r>
        <w:rPr>
          <w:rFonts w:hint="eastAsia" w:ascii="宋体" w:hAnsi="宋体" w:cs="宋体"/>
          <w:color w:val="auto"/>
          <w:lang w:val="en-US" w:eastAsia="zh-CN"/>
        </w:rPr>
        <w:t>2、生产</w:t>
      </w:r>
      <w:r>
        <w:rPr>
          <w:rFonts w:hint="eastAsia" w:ascii="宋体" w:hAnsi="宋体" w:cs="宋体"/>
          <w:color w:val="auto"/>
        </w:rPr>
        <w:t>模式</w:t>
      </w:r>
    </w:p>
    <w:p>
      <w:pPr>
        <w:numPr>
          <w:ilvl w:val="0"/>
          <w:numId w:val="0"/>
        </w:numPr>
        <w:spacing w:line="360" w:lineRule="auto"/>
        <w:ind w:firstLine="480" w:firstLineChars="200"/>
        <w:rPr>
          <w:rFonts w:hint="default" w:ascii="宋体" w:hAnsi="宋体" w:cs="宋体"/>
          <w:color w:val="000000"/>
          <w:lang w:val="en-US" w:eastAsia="zh-CN"/>
        </w:rPr>
      </w:pPr>
      <w:r>
        <w:rPr>
          <w:rFonts w:hint="eastAsia" w:ascii="宋体" w:hAnsi="宋体" w:cs="宋体"/>
          <w:color w:val="000000"/>
          <w:lang w:val="en-US" w:eastAsia="zh-CN"/>
        </w:rPr>
        <w:t>由于不同客户对产品会有不同要求，特别是高端用户对于设备经常有针对性的需求，因而公司的主要产品一般属于非标准产品，需要根据客户的要求进行定制生产。除了自己加工生产外，公司部分组件及零部件直接从供应商处进行采购，但核心组件及零部件有公司直接加工或控制关键工序，且主要不见的组装均在公司完成，部件组装调试之后的整机组装、调试也全部在公司进行。</w:t>
      </w:r>
    </w:p>
    <w:p>
      <w:pPr>
        <w:numPr>
          <w:ilvl w:val="0"/>
          <w:numId w:val="0"/>
        </w:numPr>
        <w:spacing w:line="360" w:lineRule="auto"/>
        <w:ind w:leftChars="200"/>
        <w:rPr>
          <w:rFonts w:hint="eastAsia" w:ascii="宋体" w:hAnsi="宋体" w:cs="宋体"/>
          <w:color w:val="auto"/>
          <w:lang w:val="en-US" w:eastAsia="zh-CN"/>
        </w:rPr>
      </w:pPr>
      <w:r>
        <w:rPr>
          <w:rFonts w:hint="eastAsia" w:ascii="宋体" w:hAnsi="宋体" w:cs="宋体"/>
          <w:color w:val="auto"/>
          <w:lang w:val="en-US" w:eastAsia="zh-CN"/>
        </w:rPr>
        <w:t>3、销售模式</w:t>
      </w:r>
    </w:p>
    <w:p>
      <w:pPr>
        <w:numPr>
          <w:ilvl w:val="0"/>
          <w:numId w:val="0"/>
        </w:numPr>
        <w:spacing w:line="360" w:lineRule="auto"/>
        <w:ind w:firstLine="480" w:firstLineChars="200"/>
        <w:rPr>
          <w:rFonts w:hint="eastAsia" w:ascii="宋体" w:hAnsi="宋体" w:cs="宋体"/>
          <w:color w:val="auto"/>
          <w:lang w:val="en-US" w:eastAsia="zh-CN"/>
        </w:rPr>
      </w:pPr>
      <w:r>
        <w:rPr>
          <w:rFonts w:hint="eastAsia" w:ascii="宋体" w:hAnsi="宋体" w:cs="宋体"/>
          <w:color w:val="auto"/>
          <w:lang w:val="en-US" w:eastAsia="zh-CN"/>
        </w:rPr>
        <w:t>公司的销售模式主要为直销模式。公司产品在销售时需要一定专业技术知识，公司已对销售人员进行了长期技术培训，可以更好的为客户提供售前、售中和售后的全方位营销服务。直销模式有利于公司了解客户需求，加深对客户行业应用需求的了解，有利于为客户提供更加贴合需求的定制化服务。此外直销模式为公司降低了产品流通与沟通成本，提高了货款结算与回收管理效率，增强了售后服务意识和对客户意见的及时反馈等，所以公司产品以直销模式为主。</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color w:val="auto"/>
          <w:lang w:val="en-US" w:eastAsia="zh-CN"/>
        </w:rPr>
      </w:pPr>
      <w:r>
        <w:rPr>
          <w:rFonts w:hint="eastAsia" w:ascii="宋体" w:hAnsi="宋体" w:cs="宋体"/>
          <w:color w:val="auto"/>
          <w:lang w:val="en-US" w:eastAsia="zh-CN"/>
        </w:rPr>
        <w:t>4、盈利模式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rPr>
      </w:pPr>
      <w:r>
        <w:rPr>
          <w:rFonts w:hint="eastAsia" w:ascii="宋体" w:hAnsi="宋体" w:cs="宋体"/>
          <w:color w:val="auto"/>
          <w:lang w:val="en-US" w:eastAsia="zh-CN"/>
        </w:rPr>
        <w:t>公司主要从事纺织空调的研发、生产和销售，公司的客户主要为纺织行业的相关企业和贸易公司。经过多年的业务发展，公司凭借较强的研发能力和优异的产品质量，取得了一定的品牌知名度和市场占有率。目前，公司与主要客户均保持了长期的合作关系，并通过多种销售方式服务客户，从而获得收入、利润与现金流</w:t>
      </w:r>
      <w:r>
        <w:rPr>
          <w:rFonts w:hint="eastAsia" w:ascii="宋体" w:hAnsi="宋体" w:cs="宋体"/>
          <w:color w:val="000000"/>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lang w:val="en-US" w:eastAsia="zh-CN"/>
        </w:rPr>
      </w:pPr>
    </w:p>
    <w:p>
      <w:pPr>
        <w:pStyle w:val="3"/>
        <w:spacing w:before="0" w:after="0" w:line="360" w:lineRule="auto"/>
        <w:ind w:firstLine="480"/>
        <w:rPr>
          <w:rFonts w:hint="eastAsia" w:ascii="Times New Roman" w:hAnsi="Times New Roman" w:eastAsia="宋体"/>
          <w:caps w:val="0"/>
          <w:sz w:val="24"/>
          <w:szCs w:val="24"/>
        </w:rPr>
      </w:pPr>
      <w:r>
        <w:rPr>
          <w:rFonts w:hint="eastAsia" w:ascii="Times New Roman" w:hAnsi="Times New Roman" w:eastAsia="宋体"/>
          <w:caps w:val="0"/>
          <w:sz w:val="24"/>
          <w:szCs w:val="24"/>
          <w:lang w:val="en-US" w:eastAsia="zh-CN"/>
        </w:rPr>
        <w:t>五、公司财务报表简表</w:t>
      </w:r>
      <w:bookmarkEnd w:id="72"/>
      <w:bookmarkEnd w:id="73"/>
    </w:p>
    <w:p>
      <w:pPr>
        <w:spacing w:line="360" w:lineRule="auto"/>
        <w:ind w:firstLine="480"/>
        <w:rPr>
          <w:rFonts w:hint="eastAsia" w:ascii="Times New Roman" w:hAnsi="Times New Roman" w:cs="宋体"/>
          <w:caps w:val="0"/>
        </w:rPr>
      </w:pPr>
      <w:r>
        <w:rPr>
          <w:rFonts w:hint="eastAsia" w:ascii="Times New Roman" w:hAnsi="Times New Roman" w:cs="宋体"/>
          <w:caps w:val="0"/>
        </w:rPr>
        <w:t>（一）资产负债表</w:t>
      </w:r>
    </w:p>
    <w:p>
      <w:pPr>
        <w:spacing w:line="360" w:lineRule="auto"/>
        <w:ind w:firstLine="196" w:firstLineChars="82"/>
        <w:rPr>
          <w:rFonts w:hint="eastAsia" w:ascii="Times New Roman" w:hAnsi="Times New Roman"/>
          <w:caps w:val="0"/>
        </w:rPr>
      </w:pPr>
      <w:r>
        <w:rPr>
          <w:rFonts w:hint="eastAsia" w:ascii="Times New Roman" w:hAnsi="Times New Roman"/>
          <w:caps w:val="0"/>
        </w:rPr>
        <w:t>编制单位：</w:t>
      </w:r>
      <w:r>
        <w:rPr>
          <w:rFonts w:hint="eastAsia"/>
          <w:caps w:val="0"/>
          <w:lang w:eastAsia="zh-CN"/>
        </w:rPr>
        <w:t xml:space="preserve">山东兴恒环境科技集团有限公司     </w:t>
      </w:r>
      <w:r>
        <w:rPr>
          <w:rFonts w:hint="eastAsia" w:ascii="Times New Roman" w:hAnsi="Times New Roman"/>
          <w:caps w:val="0"/>
        </w:rPr>
        <w:t xml:space="preserve">           单位：人民币元</w:t>
      </w:r>
    </w:p>
    <w:tbl>
      <w:tblPr>
        <w:tblStyle w:val="26"/>
        <w:tblW w:w="8465"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92"/>
        <w:gridCol w:w="2085"/>
        <w:gridCol w:w="2190"/>
        <w:gridCol w:w="189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blHeader/>
        </w:trPr>
        <w:tc>
          <w:tcPr>
            <w:tcW w:w="2292" w:type="dxa"/>
            <w:tcBorders>
              <w:top w:val="thinThickSmallGap" w:color="auto" w:sz="12" w:space="0"/>
              <w:bottom w:val="single" w:color="auto" w:sz="6" w:space="0"/>
            </w:tcBorders>
            <w:shd w:val="clear" w:color="auto" w:fill="BFBFBF"/>
            <w:noWrap w:val="0"/>
            <w:vAlign w:val="center"/>
          </w:tcPr>
          <w:p>
            <w:pPr>
              <w:spacing w:line="360" w:lineRule="auto"/>
              <w:ind w:firstLine="482"/>
              <w:rPr>
                <w:rFonts w:hint="eastAsia" w:ascii="宋体" w:hAnsi="宋体" w:cs="宋体"/>
                <w:b/>
              </w:rPr>
            </w:pPr>
            <w:r>
              <w:rPr>
                <w:rFonts w:hint="eastAsia" w:ascii="宋体" w:hAnsi="宋体" w:cs="宋体"/>
                <w:b/>
              </w:rPr>
              <w:t>资 产</w:t>
            </w:r>
          </w:p>
        </w:tc>
        <w:tc>
          <w:tcPr>
            <w:tcW w:w="2085" w:type="dxa"/>
            <w:tcBorders>
              <w:top w:val="thinThickSmallGap" w:color="auto" w:sz="12" w:space="0"/>
              <w:bottom w:val="single" w:color="auto" w:sz="6" w:space="0"/>
            </w:tcBorders>
            <w:shd w:val="clear" w:color="auto" w:fill="BFBFBF"/>
            <w:noWrap w:val="0"/>
            <w:vAlign w:val="center"/>
          </w:tcPr>
          <w:p>
            <w:pPr>
              <w:spacing w:line="360" w:lineRule="auto"/>
              <w:ind w:firstLine="0" w:firstLineChars="0"/>
              <w:jc w:val="right"/>
              <w:rPr>
                <w:rFonts w:hint="eastAsia" w:ascii="宋体" w:hAnsi="宋体" w:eastAsia="宋体"/>
                <w:b/>
                <w:lang w:eastAsia="zh-CN"/>
              </w:rPr>
            </w:pPr>
            <w:r>
              <w:rPr>
                <w:rFonts w:hint="eastAsia" w:ascii="宋体" w:hAnsi="宋体"/>
                <w:b/>
                <w:lang w:eastAsia="zh-CN"/>
              </w:rPr>
              <w:t>202</w:t>
            </w:r>
            <w:r>
              <w:rPr>
                <w:rFonts w:hint="eastAsia" w:ascii="宋体" w:hAnsi="宋体"/>
                <w:b/>
                <w:lang w:val="en-US" w:eastAsia="zh-CN"/>
              </w:rPr>
              <w:t>2</w:t>
            </w:r>
            <w:r>
              <w:rPr>
                <w:rFonts w:hint="eastAsia" w:ascii="宋体" w:hAnsi="宋体"/>
                <w:b/>
                <w:lang w:eastAsia="zh-CN"/>
              </w:rPr>
              <w:t>年</w:t>
            </w:r>
            <w:r>
              <w:rPr>
                <w:rFonts w:hint="eastAsia" w:ascii="宋体" w:hAnsi="宋体"/>
                <w:b/>
                <w:lang w:val="en-US" w:eastAsia="zh-CN"/>
              </w:rPr>
              <w:t>3</w:t>
            </w:r>
            <w:r>
              <w:rPr>
                <w:rFonts w:hint="eastAsia" w:ascii="宋体" w:hAnsi="宋体"/>
                <w:b/>
                <w:lang w:eastAsia="zh-CN"/>
              </w:rPr>
              <w:t>月3</w:t>
            </w:r>
            <w:r>
              <w:rPr>
                <w:rFonts w:hint="eastAsia" w:ascii="宋体" w:hAnsi="宋体"/>
                <w:b/>
                <w:lang w:val="en-US" w:eastAsia="zh-CN"/>
              </w:rPr>
              <w:t>1</w:t>
            </w:r>
            <w:r>
              <w:rPr>
                <w:rFonts w:hint="eastAsia" w:ascii="宋体" w:hAnsi="宋体"/>
                <w:b/>
                <w:lang w:eastAsia="zh-CN"/>
              </w:rPr>
              <w:t>日</w:t>
            </w:r>
          </w:p>
        </w:tc>
        <w:tc>
          <w:tcPr>
            <w:tcW w:w="2190" w:type="dxa"/>
            <w:tcBorders>
              <w:top w:val="thinThickSmallGap" w:color="auto" w:sz="12" w:space="0"/>
              <w:bottom w:val="single" w:color="auto" w:sz="6" w:space="0"/>
            </w:tcBorders>
            <w:shd w:val="clear" w:color="auto" w:fill="BFBFBF"/>
            <w:noWrap w:val="0"/>
            <w:vAlign w:val="center"/>
          </w:tcPr>
          <w:p>
            <w:pPr>
              <w:spacing w:line="360" w:lineRule="auto"/>
              <w:ind w:firstLine="0" w:firstLineChars="0"/>
              <w:jc w:val="right"/>
              <w:rPr>
                <w:rFonts w:ascii="宋体" w:hAnsi="宋体"/>
                <w:b/>
              </w:rPr>
            </w:pPr>
            <w:r>
              <w:rPr>
                <w:rFonts w:ascii="宋体" w:hAnsi="宋体"/>
                <w:b/>
              </w:rPr>
              <w:t>20</w:t>
            </w:r>
            <w:r>
              <w:rPr>
                <w:rFonts w:hint="eastAsia" w:ascii="宋体" w:hAnsi="宋体"/>
                <w:b/>
                <w:lang w:val="en-US" w:eastAsia="zh-CN"/>
              </w:rPr>
              <w:t>21</w:t>
            </w:r>
            <w:r>
              <w:rPr>
                <w:rFonts w:ascii="宋体" w:hAnsi="宋体"/>
                <w:b/>
              </w:rPr>
              <w:t>年12月31日</w:t>
            </w:r>
          </w:p>
        </w:tc>
        <w:tc>
          <w:tcPr>
            <w:tcW w:w="1898" w:type="dxa"/>
            <w:tcBorders>
              <w:top w:val="thinThickSmallGap" w:color="auto" w:sz="12" w:space="0"/>
              <w:bottom w:val="single" w:color="auto" w:sz="6" w:space="0"/>
            </w:tcBorders>
            <w:shd w:val="clear" w:color="auto" w:fill="BFBFBF"/>
            <w:noWrap w:val="0"/>
            <w:vAlign w:val="center"/>
          </w:tcPr>
          <w:p>
            <w:pPr>
              <w:spacing w:line="360" w:lineRule="auto"/>
              <w:ind w:firstLine="0" w:firstLineChars="0"/>
              <w:jc w:val="center"/>
              <w:rPr>
                <w:rFonts w:hint="default" w:ascii="宋体" w:hAnsi="宋体" w:cs="Times New Roman"/>
                <w:b/>
                <w:lang w:val="en-US" w:eastAsia="zh-CN"/>
              </w:rPr>
            </w:pPr>
            <w:r>
              <w:rPr>
                <w:rFonts w:hint="eastAsia" w:ascii="宋体" w:hAnsi="宋体" w:cs="Times New Roman"/>
                <w:b/>
                <w:lang w:val="en-US" w:eastAsia="zh-CN"/>
              </w:rPr>
              <w:t>2021年1月1日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tcBorders>
              <w:top w:val="single" w:color="auto" w:sz="6" w:space="0"/>
            </w:tcBorders>
            <w:noWrap w:val="0"/>
            <w:vAlign w:val="center"/>
          </w:tcPr>
          <w:p>
            <w:pPr>
              <w:spacing w:line="360" w:lineRule="auto"/>
              <w:ind w:firstLine="480"/>
              <w:rPr>
                <w:rFonts w:hint="eastAsia" w:ascii="宋体" w:hAnsi="宋体" w:cs="宋体"/>
              </w:rPr>
            </w:pPr>
            <w:r>
              <w:rPr>
                <w:rFonts w:hint="eastAsia" w:ascii="宋体" w:hAnsi="宋体" w:cs="宋体"/>
              </w:rPr>
              <w:t xml:space="preserve"> 流动资产 </w:t>
            </w:r>
          </w:p>
        </w:tc>
        <w:tc>
          <w:tcPr>
            <w:tcW w:w="2085" w:type="dxa"/>
            <w:tcBorders>
              <w:top w:val="single" w:color="auto" w:sz="6" w:space="0"/>
            </w:tcBorders>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tcBorders>
              <w:top w:val="single" w:color="auto" w:sz="6" w:space="0"/>
            </w:tcBorders>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tcBorders>
              <w:top w:val="single" w:color="auto" w:sz="6" w:space="0"/>
            </w:tcBorders>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货币资金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3,767,756.54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2,721,960.01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6,216,487.23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以公允价值计量且其变动计入当期损益的金融资产 </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衍生金融资产 </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应收票据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3,090,793.40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2,022,541.32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703,686.25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应收账款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47,361,207.53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48,596,935.75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28,935,390.84</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预付款项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32,302,825.32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24,213,255.21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17,652,948.52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应收利息 </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应收股利 </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其他应收款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9,847,161.88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10,280,837.46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7,870,168.96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存货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41,866,872.59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41,665,841.83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38,282,955.17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0" w:firstLineChars="0"/>
              <w:rPr>
                <w:rFonts w:hint="eastAsia" w:ascii="宋体" w:hAnsi="宋体" w:cs="宋体"/>
              </w:rPr>
            </w:pPr>
            <w:r>
              <w:rPr>
                <w:rFonts w:hint="eastAsia" w:ascii="宋体" w:hAnsi="宋体" w:cs="宋体"/>
              </w:rPr>
              <w:t xml:space="preserve">   持有待售的资产 </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0" w:firstLineChars="0"/>
              <w:rPr>
                <w:rFonts w:hint="eastAsia" w:ascii="宋体" w:hAnsi="宋体" w:cs="宋体"/>
              </w:rPr>
            </w:pPr>
            <w:r>
              <w:rPr>
                <w:rFonts w:hint="eastAsia" w:ascii="宋体" w:hAnsi="宋体" w:cs="宋体"/>
              </w:rPr>
              <w:t xml:space="preserve">一年内到期的非流动资产 </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其他流动资产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0.00</w:t>
            </w:r>
            <w:r>
              <w:rPr>
                <w:rFonts w:hint="default" w:ascii="Times New Roman" w:hAnsi="Times New Roman" w:eastAsia="宋体" w:cs="Times New Roman"/>
                <w:i w:val="0"/>
                <w:color w:val="auto"/>
                <w:kern w:val="2"/>
                <w:sz w:val="24"/>
                <w:szCs w:val="24"/>
                <w:u w:val="none"/>
                <w:lang w:val="en-US" w:eastAsia="zh-CN" w:bidi="ar-SA"/>
              </w:rPr>
              <w:t xml:space="preserve">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w:t>
            </w:r>
            <w:r>
              <w:rPr>
                <w:rFonts w:hint="eastAsia" w:ascii="Times New Roman" w:hAnsi="Times New Roman" w:eastAsia="宋体" w:cs="Times New Roman"/>
                <w:i w:val="0"/>
                <w:color w:val="auto"/>
                <w:kern w:val="2"/>
                <w:sz w:val="24"/>
                <w:szCs w:val="24"/>
                <w:u w:val="none"/>
                <w:lang w:val="en-US" w:eastAsia="zh-CN" w:bidi="ar-SA"/>
              </w:rPr>
              <w:t>0.00</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0.00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b/>
                <w:bCs/>
              </w:rPr>
            </w:pPr>
            <w:r>
              <w:rPr>
                <w:rFonts w:hint="eastAsia" w:ascii="宋体" w:hAnsi="宋体" w:cs="宋体"/>
                <w:b/>
                <w:bCs/>
              </w:rPr>
              <w:t xml:space="preserve"> 流动资产合计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138,236,617.26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129,501,371.58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99,661,636.97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非流动资产</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left="0" w:leftChars="0" w:firstLine="0" w:firstLineChars="0"/>
              <w:rPr>
                <w:rFonts w:hint="eastAsia" w:ascii="宋体" w:hAnsi="宋体" w:cs="宋体"/>
              </w:rPr>
            </w:pPr>
            <w:r>
              <w:rPr>
                <w:rFonts w:hint="eastAsia" w:ascii="宋体" w:hAnsi="宋体" w:cs="宋体"/>
              </w:rPr>
              <w:t xml:space="preserve">可供出售金融资产 </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left="0" w:leftChars="0" w:firstLine="240" w:firstLineChars="100"/>
              <w:rPr>
                <w:rFonts w:hint="eastAsia" w:ascii="宋体" w:hAnsi="宋体" w:cs="宋体"/>
              </w:rPr>
            </w:pPr>
            <w:r>
              <w:rPr>
                <w:rFonts w:hint="eastAsia" w:ascii="宋体" w:hAnsi="宋体" w:cs="宋体"/>
              </w:rPr>
              <w:t xml:space="preserve">持有至到期投资 </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长期应收款 </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长期股权投资 </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投资性房地产 </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固定资产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9,660,413.72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8,994,703.33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4,843,483.72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在建工程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工程物资 </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固定资产清理 </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left="0" w:leftChars="0" w:firstLine="240" w:firstLineChars="100"/>
              <w:rPr>
                <w:rFonts w:hint="eastAsia" w:ascii="宋体" w:hAnsi="宋体" w:cs="宋体"/>
              </w:rPr>
            </w:pPr>
            <w:r>
              <w:rPr>
                <w:rFonts w:hint="eastAsia" w:ascii="宋体" w:hAnsi="宋体" w:cs="宋体"/>
              </w:rPr>
              <w:t xml:space="preserve">生产性生物资产 </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油气资产 </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无形资产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7,930,854.92</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7,970,708.45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7,955,953.00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开发支出 </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商誉 </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6" w:hRule="atLeast"/>
        </w:trPr>
        <w:tc>
          <w:tcPr>
            <w:tcW w:w="2292" w:type="dxa"/>
            <w:noWrap w:val="0"/>
            <w:vAlign w:val="center"/>
          </w:tcPr>
          <w:p>
            <w:pPr>
              <w:spacing w:line="360" w:lineRule="auto"/>
              <w:ind w:firstLine="480"/>
              <w:rPr>
                <w:rFonts w:hint="eastAsia" w:ascii="宋体" w:hAnsi="宋体" w:cs="宋体"/>
                <w:color w:val="auto"/>
              </w:rPr>
            </w:pPr>
            <w:r>
              <w:rPr>
                <w:rFonts w:hint="eastAsia" w:ascii="宋体" w:hAnsi="宋体" w:cs="宋体"/>
                <w:color w:val="auto"/>
              </w:rPr>
              <w:t xml:space="preserve"> 长期待摊费用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0.00</w:t>
            </w:r>
            <w:r>
              <w:rPr>
                <w:rFonts w:hint="default" w:ascii="Times New Roman" w:hAnsi="Times New Roman" w:eastAsia="宋体" w:cs="Times New Roman"/>
                <w:i w:val="0"/>
                <w:color w:val="auto"/>
                <w:kern w:val="2"/>
                <w:sz w:val="24"/>
                <w:szCs w:val="24"/>
                <w:u w:val="none"/>
                <w:lang w:val="en-US" w:eastAsia="zh-CN" w:bidi="ar-SA"/>
              </w:rPr>
              <w:t xml:space="preserve">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w:t>
            </w:r>
            <w:r>
              <w:rPr>
                <w:rFonts w:hint="eastAsia" w:ascii="Times New Roman" w:hAnsi="Times New Roman" w:eastAsia="宋体" w:cs="Times New Roman"/>
                <w:i w:val="0"/>
                <w:color w:val="auto"/>
                <w:kern w:val="2"/>
                <w:sz w:val="24"/>
                <w:szCs w:val="24"/>
                <w:u w:val="none"/>
                <w:lang w:val="en-US" w:eastAsia="zh-CN" w:bidi="ar-SA"/>
              </w:rPr>
              <w:t>0.00</w:t>
            </w:r>
            <w:r>
              <w:rPr>
                <w:rFonts w:hint="default" w:ascii="Times New Roman" w:hAnsi="Times New Roman" w:eastAsia="宋体" w:cs="Times New Roman"/>
                <w:i w:val="0"/>
                <w:color w:val="auto"/>
                <w:kern w:val="2"/>
                <w:sz w:val="24"/>
                <w:szCs w:val="24"/>
                <w:u w:val="none"/>
                <w:lang w:val="en-US" w:eastAsia="zh-CN" w:bidi="ar-SA"/>
              </w:rPr>
              <w:t xml:space="preserve">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4,405,028.91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left="0" w:leftChars="0" w:firstLine="240" w:firstLineChars="100"/>
              <w:rPr>
                <w:rFonts w:hint="eastAsia" w:ascii="宋体" w:hAnsi="宋体" w:cs="宋体"/>
              </w:rPr>
            </w:pPr>
            <w:r>
              <w:rPr>
                <w:rFonts w:hint="eastAsia" w:ascii="宋体" w:hAnsi="宋体" w:cs="宋体"/>
              </w:rPr>
              <w:t xml:space="preserve">其他非流动资产 </w:t>
            </w:r>
          </w:p>
        </w:tc>
        <w:tc>
          <w:tcPr>
            <w:tcW w:w="2085"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top"/>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left="0" w:leftChars="0" w:firstLine="240" w:firstLineChars="100"/>
              <w:rPr>
                <w:rFonts w:hint="eastAsia" w:ascii="宋体" w:hAnsi="宋体" w:cs="宋体"/>
              </w:rPr>
            </w:pPr>
            <w:r>
              <w:rPr>
                <w:rFonts w:hint="eastAsia" w:ascii="宋体" w:hAnsi="宋体" w:cs="宋体"/>
              </w:rPr>
              <w:t xml:space="preserve">非流动资产合计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27,119,087.54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26,286,512.74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21,208,671.98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资产总计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165,355,704.80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155,787,884.32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120,870,308.95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流动负债：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color w:val="0070C0"/>
              </w:rPr>
            </w:pPr>
            <w:r>
              <w:rPr>
                <w:rFonts w:hint="eastAsia" w:ascii="宋体" w:hAnsi="宋体" w:cs="宋体"/>
                <w:color w:val="auto"/>
              </w:rPr>
              <w:t xml:space="preserve"> 短期借款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0070C0"/>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0070C0"/>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0" w:firstLineChars="0"/>
              <w:rPr>
                <w:rFonts w:hint="eastAsia" w:ascii="宋体" w:hAnsi="宋体" w:cs="宋体"/>
              </w:rPr>
            </w:pPr>
            <w:r>
              <w:rPr>
                <w:rFonts w:hint="eastAsia" w:ascii="宋体" w:hAnsi="宋体" w:cs="宋体"/>
              </w:rPr>
              <w:t xml:space="preserve"> 以公允价值计量且其变动计入当期损益的金融负债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衍生金融负债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应付票据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应付账款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21,429,823.23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22,011,388.83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6,591,855.85</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预收款项 </w:t>
            </w:r>
          </w:p>
        </w:tc>
        <w:tc>
          <w:tcPr>
            <w:tcW w:w="2085" w:type="dxa"/>
            <w:noWrap w:val="0"/>
            <w:vAlign w:val="center"/>
          </w:tcPr>
          <w:p>
            <w:pPr>
              <w:keepNext w:val="0"/>
              <w:keepLines w:val="0"/>
              <w:widowControl/>
              <w:suppressLineNumbers w:val="0"/>
              <w:ind w:left="0" w:leftChars="0" w:firstLine="0" w:firstLineChars="0"/>
              <w:jc w:val="right"/>
              <w:textAlignment w:val="center"/>
              <w:rPr>
                <w:rFonts w:hint="default"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0.00</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w:t>
            </w:r>
            <w:r>
              <w:rPr>
                <w:rFonts w:hint="eastAsia" w:ascii="Times New Roman" w:hAnsi="Times New Roman" w:eastAsia="宋体" w:cs="Times New Roman"/>
                <w:i w:val="0"/>
                <w:color w:val="auto"/>
                <w:kern w:val="2"/>
                <w:sz w:val="24"/>
                <w:szCs w:val="24"/>
                <w:u w:val="none"/>
                <w:lang w:val="en-US" w:eastAsia="zh-CN" w:bidi="ar-SA"/>
              </w:rPr>
              <w:t>0.00</w:t>
            </w:r>
            <w:r>
              <w:rPr>
                <w:rFonts w:hint="default" w:ascii="Times New Roman" w:hAnsi="Times New Roman" w:eastAsia="宋体" w:cs="Times New Roman"/>
                <w:i w:val="0"/>
                <w:color w:val="auto"/>
                <w:kern w:val="2"/>
                <w:sz w:val="24"/>
                <w:szCs w:val="24"/>
                <w:u w:val="none"/>
                <w:lang w:val="en-US" w:eastAsia="zh-CN" w:bidi="ar-SA"/>
              </w:rPr>
              <w:t xml:space="preserve">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0.00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应付职工薪酬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1,491,195.19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1,508,814.47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205,981.68</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应交税费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1,825,606.57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1,198,923.51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763,445.36</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应付利息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其他应付款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41,710,035.93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34,212,339.56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68,586,241.53</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0" w:firstLineChars="0"/>
              <w:rPr>
                <w:rFonts w:hint="eastAsia" w:ascii="宋体" w:hAnsi="宋体" w:cs="宋体"/>
              </w:rPr>
            </w:pPr>
            <w:r>
              <w:rPr>
                <w:rFonts w:hint="eastAsia" w:ascii="宋体" w:hAnsi="宋体" w:cs="宋体"/>
              </w:rPr>
              <w:t xml:space="preserve">   持有待售的负债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0" w:firstLineChars="0"/>
              <w:rPr>
                <w:rFonts w:hint="eastAsia" w:ascii="宋体" w:hAnsi="宋体" w:cs="宋体"/>
              </w:rPr>
            </w:pPr>
            <w:r>
              <w:rPr>
                <w:rFonts w:hint="eastAsia" w:ascii="宋体" w:hAnsi="宋体" w:cs="宋体"/>
              </w:rPr>
              <w:t xml:space="preserve"> 一年内到期的非流动负债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其他流动负债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流动负债合计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82,356,660.92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74,831,466.37</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90,942,740.24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非流动负债：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长期借款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应付债券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其中：优先股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永续债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长期应付款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left="0" w:leftChars="0" w:firstLine="0" w:firstLineChars="0"/>
              <w:rPr>
                <w:rFonts w:hint="eastAsia" w:ascii="宋体" w:hAnsi="宋体" w:cs="宋体"/>
              </w:rPr>
            </w:pPr>
            <w:r>
              <w:rPr>
                <w:rFonts w:hint="eastAsia" w:ascii="宋体" w:hAnsi="宋体" w:cs="宋体"/>
              </w:rPr>
              <w:t xml:space="preserve">长期应付职工薪酬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专项应付款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预计负债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firstLine="480"/>
              <w:rPr>
                <w:rFonts w:hint="eastAsia" w:ascii="宋体" w:hAnsi="宋体" w:cs="宋体"/>
              </w:rPr>
            </w:pPr>
            <w:r>
              <w:rPr>
                <w:rFonts w:hint="eastAsia" w:ascii="宋体" w:hAnsi="宋体" w:cs="宋体"/>
              </w:rPr>
              <w:t xml:space="preserve"> 递延收益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left="0" w:leftChars="0" w:firstLine="240" w:firstLineChars="100"/>
              <w:rPr>
                <w:rFonts w:hint="eastAsia" w:ascii="宋体" w:hAnsi="宋体" w:cs="宋体"/>
              </w:rPr>
            </w:pPr>
            <w:r>
              <w:rPr>
                <w:rFonts w:hint="eastAsia" w:ascii="宋体" w:hAnsi="宋体" w:cs="宋体"/>
              </w:rPr>
              <w:t xml:space="preserve">递延所得税负债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left="0" w:leftChars="0" w:firstLine="240" w:firstLineChars="100"/>
              <w:rPr>
                <w:rFonts w:hint="eastAsia" w:ascii="宋体" w:hAnsi="宋体" w:cs="宋体"/>
              </w:rPr>
            </w:pPr>
            <w:r>
              <w:rPr>
                <w:rFonts w:hint="eastAsia" w:ascii="宋体" w:hAnsi="宋体" w:cs="宋体"/>
              </w:rPr>
              <w:t xml:space="preserve">其他非流动负债 </w:t>
            </w:r>
          </w:p>
        </w:tc>
        <w:tc>
          <w:tcPr>
            <w:tcW w:w="2085" w:type="dxa"/>
            <w:noWrap w:val="0"/>
            <w:vAlign w:val="center"/>
          </w:tcPr>
          <w:p>
            <w:pPr>
              <w:keepNext w:val="0"/>
              <w:keepLines w:val="0"/>
              <w:widowControl/>
              <w:suppressLineNumbers w:val="0"/>
              <w:ind w:left="0" w:leftChars="0" w:firstLine="0" w:firstLineChars="0"/>
              <w:jc w:val="right"/>
              <w:textAlignment w:val="center"/>
              <w:rPr>
                <w:rFonts w:hint="default"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default"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center"/>
          </w:tcPr>
          <w:p>
            <w:pPr>
              <w:spacing w:line="360" w:lineRule="auto"/>
              <w:ind w:left="0" w:leftChars="0" w:firstLine="240" w:firstLineChars="100"/>
              <w:rPr>
                <w:rFonts w:hint="eastAsia" w:ascii="宋体" w:hAnsi="宋体" w:cs="宋体"/>
              </w:rPr>
            </w:pPr>
            <w:r>
              <w:rPr>
                <w:rFonts w:hint="eastAsia" w:ascii="宋体" w:hAnsi="宋体" w:cs="宋体"/>
              </w:rPr>
              <w:t xml:space="preserve">非流动负债合计 </w:t>
            </w:r>
          </w:p>
        </w:tc>
        <w:tc>
          <w:tcPr>
            <w:tcW w:w="2085" w:type="dxa"/>
            <w:noWrap w:val="0"/>
            <w:vAlign w:val="center"/>
          </w:tcPr>
          <w:p>
            <w:pPr>
              <w:keepNext w:val="0"/>
              <w:keepLines w:val="0"/>
              <w:widowControl/>
              <w:suppressLineNumbers w:val="0"/>
              <w:ind w:left="0" w:leftChars="0" w:firstLine="0" w:firstLineChars="0"/>
              <w:jc w:val="right"/>
              <w:textAlignment w:val="center"/>
              <w:rPr>
                <w:rFonts w:hint="default"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w:t>
            </w:r>
          </w:p>
        </w:tc>
        <w:tc>
          <w:tcPr>
            <w:tcW w:w="2190" w:type="dxa"/>
            <w:noWrap w:val="0"/>
            <w:vAlign w:val="center"/>
          </w:tcPr>
          <w:p>
            <w:pPr>
              <w:keepNext w:val="0"/>
              <w:keepLines w:val="0"/>
              <w:widowControl/>
              <w:suppressLineNumbers w:val="0"/>
              <w:ind w:left="0" w:leftChars="0" w:firstLine="0" w:firstLineChars="0"/>
              <w:jc w:val="right"/>
              <w:textAlignment w:val="center"/>
              <w:rPr>
                <w:rFonts w:hint="default"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4" w:hRule="atLeast"/>
        </w:trPr>
        <w:tc>
          <w:tcPr>
            <w:tcW w:w="2292" w:type="dxa"/>
            <w:noWrap w:val="0"/>
            <w:vAlign w:val="bottom"/>
          </w:tcPr>
          <w:p>
            <w:pPr>
              <w:spacing w:line="360" w:lineRule="auto"/>
              <w:ind w:firstLine="480"/>
              <w:rPr>
                <w:rFonts w:hint="eastAsia" w:ascii="宋体" w:hAnsi="宋体" w:cs="宋体"/>
              </w:rPr>
            </w:pPr>
            <w:r>
              <w:rPr>
                <w:rFonts w:hint="eastAsia" w:ascii="宋体" w:hAnsi="宋体" w:cs="宋体"/>
              </w:rPr>
              <w:t>负债合计</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82,356,660.92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74,831,466.37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90,942,740.24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bottom"/>
          </w:tcPr>
          <w:p>
            <w:pPr>
              <w:spacing w:line="360" w:lineRule="auto"/>
              <w:ind w:firstLine="480"/>
              <w:rPr>
                <w:rFonts w:hint="eastAsia" w:ascii="宋体" w:hAnsi="宋体" w:cs="宋体"/>
              </w:rPr>
            </w:pPr>
            <w:r>
              <w:rPr>
                <w:rFonts w:hint="eastAsia" w:ascii="宋体" w:hAnsi="宋体" w:cs="宋体"/>
              </w:rPr>
              <w:t xml:space="preserve"> 所有者权益：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bottom"/>
          </w:tcPr>
          <w:p>
            <w:pPr>
              <w:spacing w:line="360" w:lineRule="auto"/>
              <w:ind w:firstLine="480"/>
              <w:rPr>
                <w:rFonts w:hint="eastAsia" w:ascii="宋体" w:hAnsi="宋体" w:cs="宋体"/>
              </w:rPr>
            </w:pPr>
            <w:r>
              <w:rPr>
                <w:rFonts w:hint="eastAsia" w:ascii="宋体" w:hAnsi="宋体" w:cs="宋体"/>
              </w:rPr>
              <w:t xml:space="preserve"> 实收资本（或股本）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50,000,000.00</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50,000,000.0</w:t>
            </w:r>
            <w:r>
              <w:rPr>
                <w:rFonts w:hint="default" w:ascii="Times New Roman" w:hAnsi="Times New Roman" w:eastAsia="宋体" w:cs="Times New Roman"/>
                <w:i w:val="0"/>
                <w:color w:val="auto"/>
                <w:kern w:val="2"/>
                <w:sz w:val="24"/>
                <w:szCs w:val="24"/>
                <w:u w:val="none"/>
                <w:lang w:val="en-US" w:eastAsia="zh-CN" w:bidi="ar-SA"/>
              </w:rPr>
              <w:t>0</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50,000,000.00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bottom"/>
          </w:tcPr>
          <w:p>
            <w:pPr>
              <w:spacing w:line="360" w:lineRule="auto"/>
              <w:ind w:firstLine="480"/>
              <w:rPr>
                <w:rFonts w:hint="eastAsia" w:ascii="宋体" w:hAnsi="宋体" w:cs="宋体"/>
              </w:rPr>
            </w:pPr>
            <w:r>
              <w:rPr>
                <w:rFonts w:hint="eastAsia" w:ascii="宋体" w:hAnsi="宋体" w:cs="宋体"/>
              </w:rPr>
              <w:t xml:space="preserve"> 其他权益工具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bottom"/>
          </w:tcPr>
          <w:p>
            <w:pPr>
              <w:spacing w:line="360" w:lineRule="auto"/>
              <w:ind w:firstLine="480"/>
              <w:rPr>
                <w:rFonts w:hint="eastAsia" w:ascii="宋体" w:hAnsi="宋体" w:cs="宋体"/>
              </w:rPr>
            </w:pPr>
            <w:r>
              <w:rPr>
                <w:rFonts w:hint="eastAsia" w:ascii="宋体" w:hAnsi="宋体" w:cs="宋体"/>
              </w:rPr>
              <w:t xml:space="preserve"> 其中：优先股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bottom"/>
          </w:tcPr>
          <w:p>
            <w:pPr>
              <w:spacing w:line="360" w:lineRule="auto"/>
              <w:ind w:firstLine="480"/>
              <w:rPr>
                <w:rFonts w:hint="eastAsia" w:ascii="宋体" w:hAnsi="宋体" w:cs="宋体"/>
              </w:rPr>
            </w:pPr>
            <w:r>
              <w:rPr>
                <w:rFonts w:hint="eastAsia" w:ascii="宋体" w:hAnsi="宋体" w:cs="宋体"/>
              </w:rPr>
              <w:t xml:space="preserve">       永续债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bottom"/>
          </w:tcPr>
          <w:p>
            <w:pPr>
              <w:spacing w:line="360" w:lineRule="auto"/>
              <w:ind w:firstLine="480"/>
              <w:rPr>
                <w:rFonts w:hint="eastAsia" w:ascii="宋体" w:hAnsi="宋体" w:cs="宋体"/>
              </w:rPr>
            </w:pPr>
            <w:r>
              <w:rPr>
                <w:rFonts w:hint="eastAsia" w:ascii="宋体" w:hAnsi="宋体" w:cs="宋体"/>
              </w:rPr>
              <w:t xml:space="preserve"> 资本公积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bottom"/>
          </w:tcPr>
          <w:p>
            <w:pPr>
              <w:spacing w:line="360" w:lineRule="auto"/>
              <w:ind w:firstLine="480"/>
              <w:rPr>
                <w:rFonts w:hint="eastAsia" w:ascii="宋体" w:hAnsi="宋体" w:cs="宋体"/>
              </w:rPr>
            </w:pPr>
            <w:r>
              <w:rPr>
                <w:rFonts w:hint="eastAsia" w:ascii="宋体" w:hAnsi="宋体" w:cs="宋体"/>
              </w:rPr>
              <w:t xml:space="preserve"> 减：库存股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bottom"/>
          </w:tcPr>
          <w:p>
            <w:pPr>
              <w:spacing w:line="360" w:lineRule="auto"/>
              <w:ind w:firstLine="480"/>
              <w:rPr>
                <w:rFonts w:hint="eastAsia" w:ascii="宋体" w:hAnsi="宋体" w:cs="宋体"/>
              </w:rPr>
            </w:pPr>
            <w:r>
              <w:rPr>
                <w:rFonts w:hint="eastAsia" w:ascii="宋体" w:hAnsi="宋体" w:cs="宋体"/>
              </w:rPr>
              <w:t xml:space="preserve"> 其他综合收益</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bottom"/>
          </w:tcPr>
          <w:p>
            <w:pPr>
              <w:spacing w:line="360" w:lineRule="auto"/>
              <w:ind w:firstLine="480"/>
              <w:rPr>
                <w:rFonts w:hint="eastAsia" w:ascii="宋体" w:hAnsi="宋体" w:cs="宋体"/>
              </w:rPr>
            </w:pPr>
            <w:r>
              <w:rPr>
                <w:rFonts w:hint="eastAsia" w:ascii="宋体" w:hAnsi="宋体" w:cs="宋体"/>
              </w:rPr>
              <w:t xml:space="preserve"> 专项储备</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bottom"/>
          </w:tcPr>
          <w:p>
            <w:pPr>
              <w:spacing w:line="360" w:lineRule="auto"/>
              <w:ind w:firstLine="480"/>
              <w:rPr>
                <w:rFonts w:hint="eastAsia" w:ascii="宋体" w:hAnsi="宋体" w:cs="宋体"/>
              </w:rPr>
            </w:pPr>
            <w:r>
              <w:rPr>
                <w:rFonts w:hint="eastAsia" w:ascii="宋体" w:hAnsi="宋体" w:cs="宋体"/>
              </w:rPr>
              <w:t xml:space="preserve"> 盈余公积</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bottom"/>
          </w:tcPr>
          <w:p>
            <w:pPr>
              <w:spacing w:line="360" w:lineRule="auto"/>
              <w:ind w:firstLine="480"/>
              <w:rPr>
                <w:rFonts w:hint="eastAsia" w:ascii="宋体" w:hAnsi="宋体" w:cs="宋体"/>
              </w:rPr>
            </w:pPr>
            <w:r>
              <w:rPr>
                <w:rFonts w:hint="eastAsia" w:ascii="宋体" w:hAnsi="宋体" w:cs="宋体"/>
              </w:rPr>
              <w:t xml:space="preserve"> 未分配利润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30,687,043.88</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28,644,417.95</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17,615,568.71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bottom"/>
          </w:tcPr>
          <w:p>
            <w:pPr>
              <w:spacing w:line="360" w:lineRule="auto"/>
              <w:ind w:left="0" w:leftChars="0" w:firstLine="240" w:firstLineChars="100"/>
              <w:rPr>
                <w:rFonts w:hint="eastAsia" w:ascii="宋体" w:hAnsi="宋体" w:cs="宋体"/>
              </w:rPr>
            </w:pPr>
            <w:r>
              <w:rPr>
                <w:rFonts w:hint="eastAsia" w:ascii="宋体" w:hAnsi="宋体" w:cs="宋体"/>
              </w:rPr>
              <w:t xml:space="preserve"> 所有者权益合计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82,999,043.88 </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80,956,417.95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29,927,568.71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292" w:type="dxa"/>
            <w:noWrap w:val="0"/>
            <w:vAlign w:val="bottom"/>
          </w:tcPr>
          <w:p>
            <w:pPr>
              <w:spacing w:line="360" w:lineRule="auto"/>
              <w:ind w:firstLine="0" w:firstLineChars="0"/>
              <w:rPr>
                <w:rFonts w:hint="eastAsia" w:ascii="宋体" w:hAnsi="宋体" w:cs="宋体"/>
              </w:rPr>
            </w:pPr>
            <w:r>
              <w:rPr>
                <w:rFonts w:hint="eastAsia" w:ascii="宋体" w:hAnsi="宋体" w:cs="宋体"/>
              </w:rPr>
              <w:t xml:space="preserve">负债和所有者权益总计 </w:t>
            </w:r>
          </w:p>
        </w:tc>
        <w:tc>
          <w:tcPr>
            <w:tcW w:w="2085"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eastAsia" w:ascii="Times New Roman" w:hAnsi="Times New Roman" w:eastAsia="宋体" w:cs="Times New Roman"/>
                <w:b/>
                <w:bCs/>
                <w:i w:val="0"/>
                <w:color w:val="auto"/>
                <w:kern w:val="2"/>
                <w:sz w:val="24"/>
                <w:szCs w:val="24"/>
                <w:u w:val="none"/>
                <w:lang w:val="en-US" w:eastAsia="zh-CN" w:bidi="ar-SA"/>
              </w:rPr>
              <w:t>165,355,704.80</w:t>
            </w:r>
          </w:p>
        </w:tc>
        <w:tc>
          <w:tcPr>
            <w:tcW w:w="2190"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155,787,884.32 </w:t>
            </w:r>
          </w:p>
        </w:tc>
        <w:tc>
          <w:tcPr>
            <w:tcW w:w="1898"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eastAsia" w:ascii="Times New Roman" w:hAnsi="Times New Roman" w:eastAsia="宋体" w:cs="Times New Roman"/>
                <w:b/>
                <w:bCs/>
                <w:i w:val="0"/>
                <w:color w:val="auto"/>
                <w:kern w:val="2"/>
                <w:sz w:val="24"/>
                <w:szCs w:val="24"/>
                <w:u w:val="none"/>
                <w:lang w:val="en-US" w:eastAsia="zh-CN" w:bidi="ar-SA"/>
              </w:rPr>
              <w:t>120,870,308.95</w:t>
            </w:r>
          </w:p>
        </w:tc>
      </w:tr>
    </w:tbl>
    <w:p>
      <w:pPr>
        <w:spacing w:line="360" w:lineRule="auto"/>
        <w:ind w:firstLine="196" w:firstLineChars="82"/>
        <w:rPr>
          <w:rFonts w:hint="eastAsia" w:ascii="Times New Roman" w:hAnsi="Times New Roman"/>
          <w:caps w:val="0"/>
        </w:rPr>
      </w:pPr>
    </w:p>
    <w:p>
      <w:pPr>
        <w:spacing w:before="156" w:beforeLines="50" w:line="360" w:lineRule="auto"/>
        <w:ind w:firstLine="480"/>
        <w:rPr>
          <w:rFonts w:hint="eastAsia" w:ascii="Times New Roman" w:hAnsi="Times New Roman"/>
          <w:caps w:val="0"/>
        </w:rPr>
      </w:pPr>
      <w:r>
        <w:rPr>
          <w:rFonts w:hint="eastAsia" w:ascii="Times New Roman" w:hAnsi="Times New Roman"/>
          <w:caps w:val="0"/>
        </w:rPr>
        <w:t>（二）利润表</w:t>
      </w:r>
    </w:p>
    <w:p>
      <w:pPr>
        <w:spacing w:line="360" w:lineRule="auto"/>
        <w:ind w:firstLine="196" w:firstLineChars="82"/>
        <w:rPr>
          <w:rFonts w:hint="eastAsia" w:ascii="Times New Roman" w:hAnsi="Times New Roman"/>
          <w:caps w:val="0"/>
        </w:rPr>
      </w:pPr>
      <w:r>
        <w:rPr>
          <w:rFonts w:hint="eastAsia" w:ascii="Times New Roman" w:hAnsi="Times New Roman"/>
          <w:caps w:val="0"/>
        </w:rPr>
        <w:t>编制单位：</w:t>
      </w:r>
      <w:r>
        <w:rPr>
          <w:rFonts w:hint="eastAsia"/>
          <w:caps w:val="0"/>
          <w:lang w:eastAsia="zh-CN"/>
        </w:rPr>
        <w:t xml:space="preserve">山东兴恒环境科技集团有限公司     </w:t>
      </w:r>
      <w:r>
        <w:rPr>
          <w:rFonts w:hint="eastAsia" w:ascii="Times New Roman" w:hAnsi="Times New Roman"/>
          <w:caps w:val="0"/>
        </w:rPr>
        <w:t xml:space="preserve">          单位：人民币元</w:t>
      </w:r>
    </w:p>
    <w:tbl>
      <w:tblPr>
        <w:tblStyle w:val="26"/>
        <w:tblW w:w="8372" w:type="dxa"/>
        <w:tblInd w:w="-15" w:type="dxa"/>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
      <w:tblGrid>
        <w:gridCol w:w="3596"/>
        <w:gridCol w:w="2629"/>
        <w:gridCol w:w="2147"/>
      </w:tblGrid>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60" w:hRule="atLeast"/>
        </w:trPr>
        <w:tc>
          <w:tcPr>
            <w:tcW w:w="3596" w:type="dxa"/>
            <w:shd w:val="clear" w:color="auto" w:fill="BEBEBE"/>
            <w:noWrap w:val="0"/>
            <w:vAlign w:val="center"/>
          </w:tcPr>
          <w:p>
            <w:pPr>
              <w:spacing w:line="360" w:lineRule="auto"/>
              <w:ind w:firstLine="482"/>
              <w:jc w:val="center"/>
              <w:rPr>
                <w:rFonts w:hint="eastAsia" w:ascii="宋体" w:hAnsi="宋体" w:cs="宋体"/>
                <w:b/>
                <w:bCs/>
              </w:rPr>
            </w:pPr>
            <w:r>
              <w:rPr>
                <w:rFonts w:hint="eastAsia" w:ascii="宋体" w:hAnsi="宋体" w:cs="宋体"/>
                <w:b/>
                <w:bCs/>
              </w:rPr>
              <w:t>项   目</w:t>
            </w:r>
          </w:p>
        </w:tc>
        <w:tc>
          <w:tcPr>
            <w:tcW w:w="2629" w:type="dxa"/>
            <w:shd w:val="clear" w:color="auto" w:fill="BEBEBE"/>
            <w:noWrap w:val="0"/>
            <w:vAlign w:val="center"/>
          </w:tcPr>
          <w:p>
            <w:pPr>
              <w:spacing w:line="360" w:lineRule="auto"/>
              <w:ind w:firstLine="482"/>
              <w:jc w:val="center"/>
              <w:rPr>
                <w:rFonts w:hint="eastAsia" w:ascii="宋体" w:hAnsi="宋体" w:cs="宋体"/>
                <w:b/>
                <w:bCs/>
              </w:rPr>
            </w:pPr>
            <w:r>
              <w:rPr>
                <w:rFonts w:hint="eastAsia" w:ascii="宋体" w:hAnsi="宋体" w:cs="宋体"/>
                <w:b/>
                <w:bCs/>
              </w:rPr>
              <w:t>202</w:t>
            </w:r>
            <w:r>
              <w:rPr>
                <w:rFonts w:hint="eastAsia" w:ascii="宋体" w:hAnsi="宋体" w:cs="宋体"/>
                <w:b/>
                <w:bCs/>
                <w:lang w:val="en-US" w:eastAsia="zh-CN"/>
              </w:rPr>
              <w:t>2</w:t>
            </w:r>
            <w:r>
              <w:rPr>
                <w:rFonts w:hint="eastAsia" w:ascii="宋体" w:hAnsi="宋体" w:cs="宋体"/>
                <w:b/>
                <w:bCs/>
              </w:rPr>
              <w:t>年1-</w:t>
            </w:r>
            <w:r>
              <w:rPr>
                <w:rFonts w:hint="eastAsia" w:ascii="宋体" w:hAnsi="宋体" w:cs="宋体"/>
                <w:b/>
                <w:bCs/>
                <w:lang w:val="en-US" w:eastAsia="zh-CN"/>
              </w:rPr>
              <w:t>3</w:t>
            </w:r>
            <w:r>
              <w:rPr>
                <w:rFonts w:hint="eastAsia" w:ascii="宋体" w:hAnsi="宋体" w:cs="宋体"/>
                <w:b/>
                <w:bCs/>
              </w:rPr>
              <w:t>月</w:t>
            </w:r>
          </w:p>
        </w:tc>
        <w:tc>
          <w:tcPr>
            <w:tcW w:w="2147" w:type="dxa"/>
            <w:shd w:val="clear" w:color="auto" w:fill="BEBEBE"/>
            <w:noWrap w:val="0"/>
            <w:vAlign w:val="center"/>
          </w:tcPr>
          <w:p>
            <w:pPr>
              <w:spacing w:line="360" w:lineRule="auto"/>
              <w:ind w:firstLine="482"/>
              <w:jc w:val="center"/>
              <w:rPr>
                <w:rFonts w:hint="eastAsia" w:ascii="宋体" w:hAnsi="宋体" w:cs="宋体"/>
                <w:b/>
                <w:bCs/>
              </w:rPr>
            </w:pPr>
            <w:r>
              <w:rPr>
                <w:rFonts w:hint="eastAsia" w:ascii="宋体" w:hAnsi="宋体" w:cs="宋体"/>
                <w:b/>
                <w:bCs/>
              </w:rPr>
              <w:t>20</w:t>
            </w:r>
            <w:r>
              <w:rPr>
                <w:rFonts w:hint="eastAsia" w:ascii="宋体" w:hAnsi="宋体" w:cs="宋体"/>
                <w:b/>
                <w:bCs/>
                <w:lang w:val="en-US" w:eastAsia="zh-CN"/>
              </w:rPr>
              <w:t>21</w:t>
            </w:r>
            <w:r>
              <w:rPr>
                <w:rFonts w:hint="eastAsia" w:ascii="宋体" w:hAnsi="宋体" w:cs="宋体"/>
                <w:b/>
                <w:bCs/>
              </w:rPr>
              <w:t>年度</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widowControl/>
              <w:ind w:firstLine="482"/>
              <w:jc w:val="left"/>
              <w:textAlignment w:val="center"/>
              <w:rPr>
                <w:rFonts w:hint="eastAsia" w:ascii="宋体" w:hAnsi="宋体" w:cs="宋体"/>
                <w:b/>
                <w:color w:val="000000"/>
              </w:rPr>
            </w:pPr>
            <w:r>
              <w:rPr>
                <w:rFonts w:hint="eastAsia" w:ascii="宋体" w:hAnsi="宋体" w:cs="宋体"/>
                <w:b/>
                <w:bCs/>
              </w:rPr>
              <w:t>一、营业收入</w:t>
            </w:r>
          </w:p>
        </w:tc>
        <w:tc>
          <w:tcPr>
            <w:tcW w:w="2629"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48,043,427.04</w:t>
            </w:r>
          </w:p>
        </w:tc>
        <w:tc>
          <w:tcPr>
            <w:tcW w:w="2147"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222,669,910.91</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0"/>
              <w:rPr>
                <w:rFonts w:hint="eastAsia" w:ascii="宋体" w:hAnsi="宋体" w:cs="宋体"/>
              </w:rPr>
            </w:pPr>
            <w:r>
              <w:rPr>
                <w:rFonts w:hint="eastAsia" w:ascii="宋体" w:hAnsi="宋体" w:cs="宋体"/>
              </w:rPr>
              <w:t xml:space="preserve">    减：营业成本</w:t>
            </w:r>
          </w:p>
        </w:tc>
        <w:tc>
          <w:tcPr>
            <w:tcW w:w="2629"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40,866,925.62</w:t>
            </w:r>
          </w:p>
        </w:tc>
        <w:tc>
          <w:tcPr>
            <w:tcW w:w="2147"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189,617,420.47</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0"/>
              <w:rPr>
                <w:rFonts w:hint="eastAsia" w:ascii="宋体" w:hAnsi="宋体" w:cs="宋体"/>
              </w:rPr>
            </w:pPr>
            <w:r>
              <w:rPr>
                <w:rFonts w:hint="eastAsia" w:ascii="宋体" w:hAnsi="宋体" w:cs="宋体"/>
              </w:rPr>
              <w:t xml:space="preserve">        税金及附加</w:t>
            </w:r>
          </w:p>
        </w:tc>
        <w:tc>
          <w:tcPr>
            <w:tcW w:w="2629"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230,138.89</w:t>
            </w:r>
          </w:p>
        </w:tc>
        <w:tc>
          <w:tcPr>
            <w:tcW w:w="2147"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899,719.71</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0"/>
              <w:rPr>
                <w:rFonts w:hint="eastAsia" w:ascii="宋体" w:hAnsi="宋体" w:cs="宋体"/>
              </w:rPr>
            </w:pPr>
            <w:r>
              <w:rPr>
                <w:rFonts w:hint="eastAsia" w:ascii="宋体" w:hAnsi="宋体" w:cs="宋体"/>
              </w:rPr>
              <w:t xml:space="preserve">        销售费用</w:t>
            </w:r>
          </w:p>
        </w:tc>
        <w:tc>
          <w:tcPr>
            <w:tcW w:w="2629"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47"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0"/>
              <w:rPr>
                <w:rFonts w:hint="eastAsia" w:ascii="宋体" w:hAnsi="宋体" w:cs="宋体"/>
              </w:rPr>
            </w:pPr>
            <w:r>
              <w:rPr>
                <w:rFonts w:hint="eastAsia" w:ascii="宋体" w:hAnsi="宋体" w:cs="宋体"/>
              </w:rPr>
              <w:t xml:space="preserve">        管理费用</w:t>
            </w:r>
          </w:p>
        </w:tc>
        <w:tc>
          <w:tcPr>
            <w:tcW w:w="2629"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4,080,627.76</w:t>
            </w:r>
          </w:p>
        </w:tc>
        <w:tc>
          <w:tcPr>
            <w:tcW w:w="2147"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18,255,049.52</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left="0" w:leftChars="0" w:firstLine="0" w:firstLineChars="0"/>
              <w:jc w:val="center"/>
              <w:rPr>
                <w:rFonts w:hint="eastAsia" w:ascii="宋体" w:hAnsi="宋体" w:eastAsia="宋体" w:cs="宋体"/>
                <w:lang w:val="en-US" w:eastAsia="zh-CN"/>
              </w:rPr>
            </w:pPr>
            <w:r>
              <w:rPr>
                <w:rFonts w:hint="eastAsia" w:ascii="宋体" w:hAnsi="宋体" w:cs="宋体"/>
                <w:lang w:val="en-US" w:eastAsia="zh-CN"/>
              </w:rPr>
              <w:t xml:space="preserve">  研发费用</w:t>
            </w:r>
          </w:p>
        </w:tc>
        <w:tc>
          <w:tcPr>
            <w:tcW w:w="2629" w:type="dxa"/>
            <w:noWrap w:val="0"/>
            <w:vAlign w:val="center"/>
          </w:tcPr>
          <w:p>
            <w:pPr>
              <w:keepNext w:val="0"/>
              <w:keepLines w:val="0"/>
              <w:widowControl/>
              <w:suppressLineNumbers w:val="0"/>
              <w:ind w:left="0" w:leftChars="0" w:firstLine="0" w:firstLineChars="0"/>
              <w:jc w:val="right"/>
              <w:textAlignment w:val="center"/>
              <w:rPr>
                <w:rFonts w:hint="default"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3,128,358.65</w:t>
            </w:r>
          </w:p>
        </w:tc>
        <w:tc>
          <w:tcPr>
            <w:tcW w:w="2147" w:type="dxa"/>
            <w:noWrap w:val="0"/>
            <w:vAlign w:val="center"/>
          </w:tcPr>
          <w:p>
            <w:pPr>
              <w:keepNext w:val="0"/>
              <w:keepLines w:val="0"/>
              <w:widowControl/>
              <w:suppressLineNumbers w:val="0"/>
              <w:ind w:left="0" w:leftChars="0" w:firstLine="0" w:firstLineChars="0"/>
              <w:jc w:val="right"/>
              <w:textAlignment w:val="center"/>
              <w:rPr>
                <w:rFonts w:hint="default"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14,684,981.32</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0"/>
              <w:rPr>
                <w:rFonts w:hint="eastAsia" w:ascii="宋体" w:hAnsi="宋体" w:cs="宋体"/>
              </w:rPr>
            </w:pPr>
            <w:r>
              <w:rPr>
                <w:rFonts w:hint="eastAsia" w:ascii="宋体" w:hAnsi="宋体" w:cs="宋体"/>
              </w:rPr>
              <w:t xml:space="preserve">        财务费用</w:t>
            </w:r>
          </w:p>
        </w:tc>
        <w:tc>
          <w:tcPr>
            <w:tcW w:w="2629"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194,125.25</w:t>
            </w:r>
          </w:p>
        </w:tc>
        <w:tc>
          <w:tcPr>
            <w:tcW w:w="2147"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800,269.15</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widowControl/>
              <w:ind w:firstLine="480"/>
              <w:jc w:val="left"/>
              <w:textAlignment w:val="center"/>
              <w:rPr>
                <w:rFonts w:hint="eastAsia" w:ascii="宋体" w:hAnsi="宋体"/>
                <w:color w:val="000000"/>
              </w:rPr>
            </w:pPr>
            <w:r>
              <w:rPr>
                <w:rFonts w:ascii="宋体" w:hAnsi="宋体"/>
                <w:color w:val="000000"/>
                <w:kern w:val="0"/>
                <w:lang w:bidi="ar"/>
              </w:rPr>
              <w:t xml:space="preserve">       </w:t>
            </w:r>
            <w:r>
              <w:rPr>
                <w:rFonts w:hint="eastAsia" w:ascii="宋体" w:hAnsi="宋体"/>
                <w:color w:val="000000"/>
                <w:kern w:val="0"/>
                <w:lang w:bidi="ar"/>
              </w:rPr>
              <w:t xml:space="preserve"> </w:t>
            </w:r>
            <w:r>
              <w:rPr>
                <w:rFonts w:hint="eastAsia" w:ascii="宋体" w:hAnsi="宋体" w:cs="宋体"/>
                <w:color w:val="000000"/>
                <w:kern w:val="0"/>
                <w:lang w:bidi="ar"/>
              </w:rPr>
              <w:t xml:space="preserve"> 其中：利息费用 </w:t>
            </w:r>
          </w:p>
        </w:tc>
        <w:tc>
          <w:tcPr>
            <w:tcW w:w="2629"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47"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240" w:lineRule="auto"/>
              <w:ind w:firstLine="2160" w:firstLineChars="900"/>
              <w:rPr>
                <w:rFonts w:ascii="宋体" w:hAnsi="宋体" w:cs="宋体"/>
              </w:rPr>
            </w:pPr>
            <w:r>
              <w:rPr>
                <w:rFonts w:hint="eastAsia" w:ascii="宋体" w:hAnsi="宋体" w:cs="宋体"/>
              </w:rPr>
              <w:t>利息收入</w:t>
            </w:r>
          </w:p>
        </w:tc>
        <w:tc>
          <w:tcPr>
            <w:tcW w:w="2629"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147"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2"/>
              <w:rPr>
                <w:rFonts w:hint="eastAsia" w:ascii="宋体" w:hAnsi="宋体" w:cs="宋体"/>
              </w:rPr>
            </w:pPr>
            <w:r>
              <w:rPr>
                <w:rFonts w:hint="eastAsia" w:ascii="宋体" w:hAnsi="宋体" w:cs="宋体"/>
                <w:b/>
                <w:bCs/>
              </w:rPr>
              <w:t>二、营业利润(亏损以“-”号填列）</w:t>
            </w:r>
          </w:p>
        </w:tc>
        <w:tc>
          <w:tcPr>
            <w:tcW w:w="2629"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2,530,151.67 </w:t>
            </w:r>
          </w:p>
        </w:tc>
        <w:tc>
          <w:tcPr>
            <w:tcW w:w="2147"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10,548,464.44 </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0"/>
              <w:rPr>
                <w:rFonts w:hint="eastAsia" w:ascii="宋体" w:hAnsi="宋体" w:cs="宋体"/>
              </w:rPr>
            </w:pPr>
            <w:r>
              <w:rPr>
                <w:rFonts w:hint="eastAsia" w:ascii="宋体" w:hAnsi="宋体" w:cs="宋体"/>
              </w:rPr>
              <w:t xml:space="preserve">    加：营业外收入</w:t>
            </w:r>
          </w:p>
        </w:tc>
        <w:tc>
          <w:tcPr>
            <w:tcW w:w="2629"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 xml:space="preserve"> 513.98</w:t>
            </w:r>
          </w:p>
        </w:tc>
        <w:tc>
          <w:tcPr>
            <w:tcW w:w="2147"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112,465.50</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0"/>
              <w:rPr>
                <w:rFonts w:hint="eastAsia" w:ascii="宋体" w:hAnsi="宋体" w:cs="宋体"/>
              </w:rPr>
            </w:pPr>
            <w:r>
              <w:rPr>
                <w:rFonts w:hint="eastAsia" w:ascii="宋体" w:hAnsi="宋体" w:cs="宋体"/>
              </w:rPr>
              <w:t xml:space="preserve">    减：营业外支出</w:t>
            </w:r>
          </w:p>
        </w:tc>
        <w:tc>
          <w:tcPr>
            <w:tcW w:w="2629"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127,576.32</w:t>
            </w:r>
          </w:p>
        </w:tc>
        <w:tc>
          <w:tcPr>
            <w:tcW w:w="2147"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35,241.23</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2"/>
              <w:rPr>
                <w:rFonts w:hint="eastAsia" w:ascii="宋体" w:hAnsi="宋体" w:cs="宋体"/>
              </w:rPr>
            </w:pPr>
            <w:r>
              <w:rPr>
                <w:rFonts w:hint="eastAsia" w:ascii="宋体" w:hAnsi="宋体" w:cs="宋体"/>
                <w:b/>
                <w:bCs/>
              </w:rPr>
              <w:t>三、利润总额(亏损总额以“-”号填列）</w:t>
            </w:r>
          </w:p>
        </w:tc>
        <w:tc>
          <w:tcPr>
            <w:tcW w:w="2629"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2,403,089.33 </w:t>
            </w:r>
          </w:p>
        </w:tc>
        <w:tc>
          <w:tcPr>
            <w:tcW w:w="2147"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10,625,688.71 </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0"/>
              <w:rPr>
                <w:rFonts w:hint="eastAsia" w:ascii="宋体" w:hAnsi="宋体" w:cs="宋体"/>
              </w:rPr>
            </w:pPr>
            <w:r>
              <w:rPr>
                <w:rFonts w:hint="eastAsia" w:ascii="宋体" w:hAnsi="宋体" w:cs="宋体"/>
              </w:rPr>
              <w:t xml:space="preserve">    减：所得税费用</w:t>
            </w:r>
          </w:p>
        </w:tc>
        <w:tc>
          <w:tcPr>
            <w:tcW w:w="2629"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360,463.40</w:t>
            </w:r>
          </w:p>
        </w:tc>
        <w:tc>
          <w:tcPr>
            <w:tcW w:w="2147"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507,881.51</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2"/>
              <w:rPr>
                <w:rFonts w:hint="eastAsia" w:ascii="宋体" w:hAnsi="宋体" w:cs="宋体"/>
              </w:rPr>
            </w:pPr>
            <w:r>
              <w:rPr>
                <w:rFonts w:hint="eastAsia" w:ascii="宋体" w:hAnsi="宋体" w:cs="宋体"/>
                <w:b/>
                <w:bCs/>
              </w:rPr>
              <w:t>四、净利润(净亏损以“-”号填列）</w:t>
            </w:r>
          </w:p>
        </w:tc>
        <w:tc>
          <w:tcPr>
            <w:tcW w:w="2629"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2,042,625.93</w:t>
            </w:r>
          </w:p>
        </w:tc>
        <w:tc>
          <w:tcPr>
            <w:tcW w:w="2147"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10,117,807.20 </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0"/>
              <w:rPr>
                <w:rFonts w:hint="eastAsia" w:ascii="宋体" w:hAnsi="宋体" w:cs="宋体"/>
                <w:color w:val="auto"/>
              </w:rPr>
            </w:pPr>
            <w:r>
              <w:rPr>
                <w:rFonts w:hint="eastAsia" w:ascii="宋体" w:hAnsi="宋体" w:cs="宋体"/>
                <w:color w:val="auto"/>
              </w:rPr>
              <w:t>（一）持续经营净利润(净亏损以“-”号填列）</w:t>
            </w:r>
          </w:p>
        </w:tc>
        <w:tc>
          <w:tcPr>
            <w:tcW w:w="2629"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644,113.23 </w:t>
            </w:r>
          </w:p>
        </w:tc>
        <w:tc>
          <w:tcPr>
            <w:tcW w:w="2147"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248,677.24 </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0"/>
              <w:rPr>
                <w:rFonts w:hint="eastAsia" w:ascii="宋体" w:hAnsi="宋体" w:cs="宋体"/>
              </w:rPr>
            </w:pPr>
            <w:r>
              <w:rPr>
                <w:rFonts w:hint="eastAsia" w:ascii="宋体" w:hAnsi="宋体" w:cs="宋体"/>
              </w:rPr>
              <w:t>（二）终止经营净利润(净亏损以“-”号填列）</w:t>
            </w:r>
          </w:p>
        </w:tc>
        <w:tc>
          <w:tcPr>
            <w:tcW w:w="2629" w:type="dxa"/>
            <w:noWrap w:val="0"/>
            <w:vAlign w:val="center"/>
          </w:tcPr>
          <w:p>
            <w:pPr>
              <w:widowControl/>
              <w:ind w:firstLine="480"/>
              <w:jc w:val="center"/>
              <w:textAlignment w:val="center"/>
              <w:rPr>
                <w:rFonts w:ascii="宋体" w:hAnsi="宋体"/>
                <w:color w:val="000000"/>
                <w:kern w:val="0"/>
                <w:lang w:bidi="ar"/>
              </w:rPr>
            </w:pPr>
          </w:p>
        </w:tc>
        <w:tc>
          <w:tcPr>
            <w:tcW w:w="2147" w:type="dxa"/>
            <w:noWrap w:val="0"/>
            <w:vAlign w:val="center"/>
          </w:tcPr>
          <w:p>
            <w:pPr>
              <w:widowControl/>
              <w:ind w:firstLine="480"/>
              <w:jc w:val="center"/>
              <w:textAlignment w:val="center"/>
              <w:rPr>
                <w:rFonts w:ascii="宋体" w:hAnsi="宋体"/>
                <w:color w:val="000000"/>
                <w:kern w:val="0"/>
                <w:lang w:bidi="ar"/>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2"/>
              <w:rPr>
                <w:rFonts w:hint="eastAsia" w:ascii="宋体" w:hAnsi="宋体" w:cs="宋体"/>
              </w:rPr>
            </w:pPr>
            <w:r>
              <w:rPr>
                <w:rFonts w:hint="eastAsia" w:ascii="宋体" w:hAnsi="宋体" w:cs="宋体"/>
                <w:b/>
                <w:bCs/>
              </w:rPr>
              <w:t>五、其他综合收益的税后净额</w:t>
            </w:r>
          </w:p>
        </w:tc>
        <w:tc>
          <w:tcPr>
            <w:tcW w:w="2629" w:type="dxa"/>
            <w:noWrap w:val="0"/>
            <w:vAlign w:val="center"/>
          </w:tcPr>
          <w:p>
            <w:pPr>
              <w:widowControl/>
              <w:ind w:firstLine="480"/>
              <w:jc w:val="center"/>
              <w:textAlignment w:val="center"/>
              <w:rPr>
                <w:rFonts w:ascii="宋体" w:hAnsi="宋体"/>
                <w:color w:val="000000"/>
                <w:kern w:val="0"/>
                <w:lang w:bidi="ar"/>
              </w:rPr>
            </w:pPr>
          </w:p>
        </w:tc>
        <w:tc>
          <w:tcPr>
            <w:tcW w:w="2147" w:type="dxa"/>
            <w:noWrap w:val="0"/>
            <w:vAlign w:val="center"/>
          </w:tcPr>
          <w:p>
            <w:pPr>
              <w:widowControl/>
              <w:ind w:firstLine="480"/>
              <w:jc w:val="center"/>
              <w:textAlignment w:val="center"/>
              <w:rPr>
                <w:rFonts w:ascii="宋体" w:hAnsi="宋体"/>
                <w:color w:val="000000"/>
                <w:kern w:val="0"/>
                <w:lang w:bidi="ar"/>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0"/>
              <w:rPr>
                <w:rFonts w:hint="eastAsia" w:ascii="宋体" w:hAnsi="宋体" w:cs="宋体"/>
              </w:rPr>
            </w:pPr>
            <w:r>
              <w:rPr>
                <w:rFonts w:hint="eastAsia" w:ascii="宋体" w:hAnsi="宋体" w:cs="宋体"/>
              </w:rPr>
              <w:t xml:space="preserve">   （一）以后不能重分类进损益的其他综合收益</w:t>
            </w:r>
          </w:p>
        </w:tc>
        <w:tc>
          <w:tcPr>
            <w:tcW w:w="2629" w:type="dxa"/>
            <w:noWrap w:val="0"/>
            <w:vAlign w:val="center"/>
          </w:tcPr>
          <w:p>
            <w:pPr>
              <w:widowControl/>
              <w:ind w:firstLine="480"/>
              <w:jc w:val="center"/>
              <w:textAlignment w:val="center"/>
              <w:rPr>
                <w:rFonts w:ascii="宋体" w:hAnsi="宋体"/>
                <w:color w:val="000000"/>
                <w:kern w:val="0"/>
                <w:lang w:bidi="ar"/>
              </w:rPr>
            </w:pPr>
          </w:p>
        </w:tc>
        <w:tc>
          <w:tcPr>
            <w:tcW w:w="2147" w:type="dxa"/>
            <w:noWrap w:val="0"/>
            <w:vAlign w:val="center"/>
          </w:tcPr>
          <w:p>
            <w:pPr>
              <w:widowControl/>
              <w:ind w:firstLine="480"/>
              <w:jc w:val="center"/>
              <w:textAlignment w:val="center"/>
              <w:rPr>
                <w:rFonts w:ascii="宋体" w:hAnsi="宋体"/>
                <w:color w:val="000000"/>
                <w:kern w:val="0"/>
                <w:lang w:bidi="ar"/>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615" w:hRule="atLeast"/>
        </w:trPr>
        <w:tc>
          <w:tcPr>
            <w:tcW w:w="3596" w:type="dxa"/>
            <w:noWrap w:val="0"/>
            <w:vAlign w:val="center"/>
          </w:tcPr>
          <w:p>
            <w:pPr>
              <w:spacing w:line="360" w:lineRule="auto"/>
              <w:ind w:firstLine="480"/>
              <w:rPr>
                <w:rFonts w:hint="eastAsia" w:ascii="宋体" w:hAnsi="宋体" w:cs="宋体"/>
              </w:rPr>
            </w:pPr>
            <w:r>
              <w:rPr>
                <w:rFonts w:hint="eastAsia" w:ascii="宋体" w:hAnsi="宋体" w:cs="宋体"/>
              </w:rPr>
              <w:t xml:space="preserve"> 1.重新计量设定受益计划净负债或净资产的变动</w:t>
            </w:r>
          </w:p>
        </w:tc>
        <w:tc>
          <w:tcPr>
            <w:tcW w:w="2629" w:type="dxa"/>
            <w:noWrap w:val="0"/>
            <w:vAlign w:val="center"/>
          </w:tcPr>
          <w:p>
            <w:pPr>
              <w:widowControl/>
              <w:ind w:firstLine="480"/>
              <w:jc w:val="center"/>
              <w:textAlignment w:val="center"/>
              <w:rPr>
                <w:rFonts w:ascii="宋体" w:hAnsi="宋体"/>
                <w:color w:val="000000"/>
                <w:kern w:val="0"/>
                <w:lang w:bidi="ar"/>
              </w:rPr>
            </w:pPr>
          </w:p>
        </w:tc>
        <w:tc>
          <w:tcPr>
            <w:tcW w:w="2147" w:type="dxa"/>
            <w:noWrap w:val="0"/>
            <w:vAlign w:val="center"/>
          </w:tcPr>
          <w:p>
            <w:pPr>
              <w:widowControl/>
              <w:ind w:firstLine="480"/>
              <w:jc w:val="center"/>
              <w:textAlignment w:val="center"/>
              <w:rPr>
                <w:rFonts w:ascii="宋体" w:hAnsi="宋体"/>
                <w:color w:val="000000"/>
                <w:kern w:val="0"/>
                <w:lang w:bidi="ar"/>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690" w:hRule="atLeast"/>
        </w:trPr>
        <w:tc>
          <w:tcPr>
            <w:tcW w:w="3596" w:type="dxa"/>
            <w:noWrap w:val="0"/>
            <w:vAlign w:val="center"/>
          </w:tcPr>
          <w:p>
            <w:pPr>
              <w:spacing w:line="360" w:lineRule="auto"/>
              <w:ind w:firstLine="480"/>
              <w:rPr>
                <w:rFonts w:hint="eastAsia" w:ascii="宋体" w:hAnsi="宋体" w:cs="宋体"/>
              </w:rPr>
            </w:pPr>
            <w:r>
              <w:rPr>
                <w:rFonts w:hint="eastAsia" w:ascii="宋体" w:hAnsi="宋体" w:cs="宋体"/>
              </w:rPr>
              <w:t xml:space="preserve"> 2.权益法下在被投资单位不能重分类进损益的其他综合收益中享有的份额</w:t>
            </w:r>
          </w:p>
        </w:tc>
        <w:tc>
          <w:tcPr>
            <w:tcW w:w="2629" w:type="dxa"/>
            <w:noWrap w:val="0"/>
            <w:vAlign w:val="center"/>
          </w:tcPr>
          <w:p>
            <w:pPr>
              <w:widowControl/>
              <w:ind w:firstLine="480"/>
              <w:jc w:val="center"/>
              <w:textAlignment w:val="center"/>
              <w:rPr>
                <w:rFonts w:ascii="宋体" w:hAnsi="宋体"/>
                <w:color w:val="000000"/>
                <w:kern w:val="0"/>
                <w:lang w:bidi="ar"/>
              </w:rPr>
            </w:pPr>
          </w:p>
        </w:tc>
        <w:tc>
          <w:tcPr>
            <w:tcW w:w="2147" w:type="dxa"/>
            <w:noWrap w:val="0"/>
            <w:vAlign w:val="center"/>
          </w:tcPr>
          <w:p>
            <w:pPr>
              <w:widowControl/>
              <w:ind w:firstLine="480"/>
              <w:jc w:val="center"/>
              <w:textAlignment w:val="center"/>
              <w:rPr>
                <w:rFonts w:ascii="宋体" w:hAnsi="宋体"/>
                <w:color w:val="000000"/>
                <w:kern w:val="0"/>
                <w:lang w:bidi="ar"/>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0"/>
              <w:rPr>
                <w:rFonts w:hint="eastAsia" w:ascii="宋体" w:hAnsi="宋体" w:cs="宋体"/>
              </w:rPr>
            </w:pPr>
            <w:r>
              <w:rPr>
                <w:rFonts w:hint="eastAsia" w:ascii="宋体" w:hAnsi="宋体" w:cs="宋体"/>
              </w:rPr>
              <w:t>（二）以后将重分类进损益的其他综合收益</w:t>
            </w:r>
          </w:p>
        </w:tc>
        <w:tc>
          <w:tcPr>
            <w:tcW w:w="2629" w:type="dxa"/>
            <w:noWrap w:val="0"/>
            <w:vAlign w:val="center"/>
          </w:tcPr>
          <w:p>
            <w:pPr>
              <w:widowControl/>
              <w:ind w:firstLine="480"/>
              <w:jc w:val="center"/>
              <w:textAlignment w:val="center"/>
              <w:rPr>
                <w:rFonts w:ascii="宋体" w:hAnsi="宋体"/>
                <w:color w:val="000000"/>
                <w:kern w:val="0"/>
                <w:lang w:bidi="ar"/>
              </w:rPr>
            </w:pPr>
          </w:p>
        </w:tc>
        <w:tc>
          <w:tcPr>
            <w:tcW w:w="2147" w:type="dxa"/>
            <w:noWrap w:val="0"/>
            <w:vAlign w:val="center"/>
          </w:tcPr>
          <w:p>
            <w:pPr>
              <w:widowControl/>
              <w:ind w:firstLine="480"/>
              <w:jc w:val="center"/>
              <w:textAlignment w:val="center"/>
              <w:rPr>
                <w:rFonts w:ascii="宋体" w:hAnsi="宋体"/>
                <w:color w:val="000000"/>
                <w:kern w:val="0"/>
                <w:lang w:bidi="ar"/>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690" w:hRule="atLeast"/>
        </w:trPr>
        <w:tc>
          <w:tcPr>
            <w:tcW w:w="3596" w:type="dxa"/>
            <w:noWrap w:val="0"/>
            <w:vAlign w:val="center"/>
          </w:tcPr>
          <w:p>
            <w:pPr>
              <w:spacing w:line="360" w:lineRule="auto"/>
              <w:ind w:firstLine="480"/>
              <w:rPr>
                <w:rFonts w:hint="eastAsia" w:ascii="宋体" w:hAnsi="宋体" w:cs="宋体"/>
              </w:rPr>
            </w:pPr>
            <w:r>
              <w:rPr>
                <w:rFonts w:hint="eastAsia" w:ascii="宋体" w:hAnsi="宋体" w:cs="宋体"/>
              </w:rPr>
              <w:t>1.权益法下在被投资单位以后将重分类进损益的其他综合收益中享有的份额</w:t>
            </w:r>
          </w:p>
        </w:tc>
        <w:tc>
          <w:tcPr>
            <w:tcW w:w="2629" w:type="dxa"/>
            <w:noWrap w:val="0"/>
            <w:vAlign w:val="center"/>
          </w:tcPr>
          <w:p>
            <w:pPr>
              <w:widowControl/>
              <w:ind w:firstLine="480"/>
              <w:jc w:val="center"/>
              <w:textAlignment w:val="center"/>
              <w:rPr>
                <w:rFonts w:ascii="宋体" w:hAnsi="宋体"/>
                <w:color w:val="000000"/>
                <w:kern w:val="0"/>
                <w:lang w:bidi="ar"/>
              </w:rPr>
            </w:pPr>
          </w:p>
        </w:tc>
        <w:tc>
          <w:tcPr>
            <w:tcW w:w="2147" w:type="dxa"/>
            <w:noWrap w:val="0"/>
            <w:vAlign w:val="center"/>
          </w:tcPr>
          <w:p>
            <w:pPr>
              <w:widowControl/>
              <w:ind w:firstLine="480"/>
              <w:jc w:val="center"/>
              <w:textAlignment w:val="center"/>
              <w:rPr>
                <w:rFonts w:ascii="宋体" w:hAnsi="宋体"/>
                <w:color w:val="000000"/>
                <w:kern w:val="0"/>
                <w:lang w:bidi="ar"/>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0"/>
              <w:rPr>
                <w:rFonts w:hint="eastAsia" w:ascii="宋体" w:hAnsi="宋体" w:cs="宋体"/>
              </w:rPr>
            </w:pPr>
            <w:r>
              <w:rPr>
                <w:rFonts w:hint="eastAsia" w:ascii="宋体" w:hAnsi="宋体" w:cs="宋体"/>
              </w:rPr>
              <w:t>2.可供出售金融资产公允价值变动损益</w:t>
            </w:r>
          </w:p>
        </w:tc>
        <w:tc>
          <w:tcPr>
            <w:tcW w:w="2629" w:type="dxa"/>
            <w:noWrap w:val="0"/>
            <w:vAlign w:val="center"/>
          </w:tcPr>
          <w:p>
            <w:pPr>
              <w:widowControl/>
              <w:ind w:firstLine="480"/>
              <w:jc w:val="center"/>
              <w:textAlignment w:val="center"/>
              <w:rPr>
                <w:rFonts w:ascii="宋体" w:hAnsi="宋体"/>
                <w:color w:val="000000"/>
                <w:kern w:val="0"/>
                <w:lang w:bidi="ar"/>
              </w:rPr>
            </w:pPr>
          </w:p>
        </w:tc>
        <w:tc>
          <w:tcPr>
            <w:tcW w:w="2147" w:type="dxa"/>
            <w:noWrap w:val="0"/>
            <w:vAlign w:val="center"/>
          </w:tcPr>
          <w:p>
            <w:pPr>
              <w:widowControl/>
              <w:ind w:firstLine="480"/>
              <w:jc w:val="center"/>
              <w:textAlignment w:val="center"/>
              <w:rPr>
                <w:rFonts w:ascii="宋体" w:hAnsi="宋体"/>
                <w:color w:val="000000"/>
                <w:kern w:val="0"/>
                <w:lang w:bidi="ar"/>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735" w:hRule="atLeast"/>
        </w:trPr>
        <w:tc>
          <w:tcPr>
            <w:tcW w:w="3596" w:type="dxa"/>
            <w:noWrap w:val="0"/>
            <w:vAlign w:val="center"/>
          </w:tcPr>
          <w:p>
            <w:pPr>
              <w:spacing w:line="360" w:lineRule="auto"/>
              <w:ind w:firstLine="480"/>
              <w:rPr>
                <w:rFonts w:hint="eastAsia" w:ascii="宋体" w:hAnsi="宋体" w:cs="宋体"/>
              </w:rPr>
            </w:pPr>
            <w:r>
              <w:rPr>
                <w:rFonts w:hint="eastAsia" w:ascii="宋体" w:hAnsi="宋体" w:cs="宋体"/>
              </w:rPr>
              <w:t>3.持有至到期投资重分类为可供出售金融资产损益</w:t>
            </w:r>
          </w:p>
        </w:tc>
        <w:tc>
          <w:tcPr>
            <w:tcW w:w="2629" w:type="dxa"/>
            <w:noWrap w:val="0"/>
            <w:vAlign w:val="center"/>
          </w:tcPr>
          <w:p>
            <w:pPr>
              <w:widowControl/>
              <w:ind w:firstLine="480"/>
              <w:jc w:val="center"/>
              <w:textAlignment w:val="center"/>
              <w:rPr>
                <w:rFonts w:ascii="宋体" w:hAnsi="宋体"/>
                <w:color w:val="000000"/>
                <w:kern w:val="0"/>
                <w:lang w:bidi="ar"/>
              </w:rPr>
            </w:pPr>
          </w:p>
        </w:tc>
        <w:tc>
          <w:tcPr>
            <w:tcW w:w="2147" w:type="dxa"/>
            <w:noWrap w:val="0"/>
            <w:vAlign w:val="center"/>
          </w:tcPr>
          <w:p>
            <w:pPr>
              <w:widowControl/>
              <w:ind w:firstLine="480"/>
              <w:jc w:val="center"/>
              <w:textAlignment w:val="center"/>
              <w:rPr>
                <w:rFonts w:ascii="宋体" w:hAnsi="宋体"/>
                <w:color w:val="000000"/>
                <w:kern w:val="0"/>
                <w:lang w:bidi="ar"/>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0"/>
              <w:rPr>
                <w:rFonts w:hint="eastAsia" w:ascii="宋体" w:hAnsi="宋体" w:cs="宋体"/>
              </w:rPr>
            </w:pPr>
            <w:r>
              <w:rPr>
                <w:rFonts w:hint="eastAsia" w:ascii="宋体" w:hAnsi="宋体" w:cs="宋体"/>
              </w:rPr>
              <w:t>4.现金流量套期损益的有效部分</w:t>
            </w:r>
          </w:p>
        </w:tc>
        <w:tc>
          <w:tcPr>
            <w:tcW w:w="2629" w:type="dxa"/>
            <w:noWrap w:val="0"/>
            <w:vAlign w:val="center"/>
          </w:tcPr>
          <w:p>
            <w:pPr>
              <w:widowControl/>
              <w:ind w:firstLine="480"/>
              <w:jc w:val="center"/>
              <w:textAlignment w:val="center"/>
              <w:rPr>
                <w:rFonts w:ascii="宋体" w:hAnsi="宋体"/>
                <w:color w:val="000000"/>
                <w:kern w:val="0"/>
                <w:lang w:bidi="ar"/>
              </w:rPr>
            </w:pPr>
          </w:p>
        </w:tc>
        <w:tc>
          <w:tcPr>
            <w:tcW w:w="2147" w:type="dxa"/>
            <w:noWrap w:val="0"/>
            <w:vAlign w:val="center"/>
          </w:tcPr>
          <w:p>
            <w:pPr>
              <w:widowControl/>
              <w:ind w:firstLine="480"/>
              <w:jc w:val="center"/>
              <w:textAlignment w:val="center"/>
              <w:rPr>
                <w:rFonts w:ascii="宋体" w:hAnsi="宋体"/>
                <w:color w:val="000000"/>
                <w:kern w:val="0"/>
                <w:lang w:bidi="ar"/>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40" w:hRule="atLeast"/>
        </w:trPr>
        <w:tc>
          <w:tcPr>
            <w:tcW w:w="3596" w:type="dxa"/>
            <w:noWrap w:val="0"/>
            <w:vAlign w:val="center"/>
          </w:tcPr>
          <w:p>
            <w:pPr>
              <w:spacing w:line="360" w:lineRule="auto"/>
              <w:ind w:firstLine="480"/>
              <w:rPr>
                <w:rFonts w:hint="eastAsia" w:ascii="宋体" w:hAnsi="宋体" w:cs="宋体"/>
              </w:rPr>
            </w:pPr>
            <w:r>
              <w:rPr>
                <w:rFonts w:hint="eastAsia" w:ascii="宋体" w:hAnsi="宋体" w:cs="宋体"/>
              </w:rPr>
              <w:t>5.外币财务报表折算差额</w:t>
            </w:r>
          </w:p>
        </w:tc>
        <w:tc>
          <w:tcPr>
            <w:tcW w:w="2629" w:type="dxa"/>
            <w:noWrap w:val="0"/>
            <w:vAlign w:val="center"/>
          </w:tcPr>
          <w:p>
            <w:pPr>
              <w:widowControl/>
              <w:ind w:firstLine="480"/>
              <w:jc w:val="center"/>
              <w:textAlignment w:val="center"/>
              <w:rPr>
                <w:rFonts w:ascii="宋体" w:hAnsi="宋体"/>
                <w:color w:val="000000"/>
                <w:kern w:val="0"/>
                <w:lang w:bidi="ar"/>
              </w:rPr>
            </w:pPr>
          </w:p>
        </w:tc>
        <w:tc>
          <w:tcPr>
            <w:tcW w:w="2147" w:type="dxa"/>
            <w:noWrap w:val="0"/>
            <w:vAlign w:val="center"/>
          </w:tcPr>
          <w:p>
            <w:pPr>
              <w:widowControl/>
              <w:ind w:firstLine="480"/>
              <w:jc w:val="center"/>
              <w:textAlignment w:val="center"/>
              <w:rPr>
                <w:rFonts w:ascii="宋体" w:hAnsi="宋体"/>
                <w:color w:val="000000"/>
                <w:kern w:val="0"/>
                <w:lang w:bidi="ar"/>
              </w:rPr>
            </w:pPr>
          </w:p>
        </w:tc>
      </w:tr>
    </w:tbl>
    <w:p>
      <w:pPr>
        <w:spacing w:before="156" w:beforeLines="50" w:line="360" w:lineRule="auto"/>
        <w:ind w:firstLine="480"/>
        <w:rPr>
          <w:rFonts w:hint="eastAsia" w:ascii="Times New Roman" w:hAnsi="Times New Roman"/>
          <w:caps w:val="0"/>
        </w:rPr>
      </w:pPr>
      <w:r>
        <w:rPr>
          <w:rFonts w:hint="eastAsia" w:ascii="Times New Roman" w:hAnsi="Times New Roman"/>
          <w:caps w:val="0"/>
        </w:rPr>
        <w:t>（三）现金流量表</w:t>
      </w:r>
    </w:p>
    <w:p>
      <w:pPr>
        <w:spacing w:line="360" w:lineRule="auto"/>
        <w:ind w:firstLine="0" w:firstLineChars="0"/>
        <w:rPr>
          <w:rFonts w:hint="eastAsia" w:ascii="Times New Roman" w:hAnsi="Times New Roman"/>
          <w:caps w:val="0"/>
        </w:rPr>
      </w:pPr>
      <w:r>
        <w:rPr>
          <w:rFonts w:hint="eastAsia" w:ascii="Times New Roman" w:hAnsi="Times New Roman"/>
          <w:caps w:val="0"/>
        </w:rPr>
        <w:t>编制单位：</w:t>
      </w:r>
      <w:r>
        <w:rPr>
          <w:rFonts w:hint="eastAsia"/>
          <w:caps w:val="0"/>
          <w:lang w:eastAsia="zh-CN"/>
        </w:rPr>
        <w:t xml:space="preserve">山东兴恒环境科技集团有限公司     </w:t>
      </w:r>
      <w:r>
        <w:rPr>
          <w:rFonts w:hint="eastAsia" w:ascii="Times New Roman" w:hAnsi="Times New Roman"/>
          <w:caps w:val="0"/>
        </w:rPr>
        <w:t xml:space="preserve">  </w:t>
      </w:r>
      <w:r>
        <w:rPr>
          <w:rFonts w:hint="eastAsia" w:ascii="Times New Roman" w:hAnsi="Times New Roman"/>
          <w:caps w:val="0"/>
          <w:lang w:val="en-US" w:eastAsia="zh-CN"/>
        </w:rPr>
        <w:t xml:space="preserve"> </w:t>
      </w:r>
      <w:r>
        <w:rPr>
          <w:rFonts w:hint="eastAsia" w:ascii="Times New Roman" w:hAnsi="Times New Roman"/>
          <w:caps w:val="0"/>
        </w:rPr>
        <w:t xml:space="preserve">          单位：人民币元</w:t>
      </w:r>
    </w:p>
    <w:tbl>
      <w:tblPr>
        <w:tblStyle w:val="26"/>
        <w:tblW w:w="8372" w:type="dxa"/>
        <w:tblInd w:w="-15" w:type="dxa"/>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
      <w:tblGrid>
        <w:gridCol w:w="3676"/>
        <w:gridCol w:w="2243"/>
        <w:gridCol w:w="2453"/>
      </w:tblGrid>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shd w:val="clear" w:color="auto" w:fill="BEBEBE"/>
            <w:noWrap w:val="0"/>
            <w:vAlign w:val="center"/>
          </w:tcPr>
          <w:p>
            <w:pPr>
              <w:spacing w:line="360" w:lineRule="auto"/>
              <w:ind w:firstLine="482"/>
              <w:jc w:val="center"/>
              <w:rPr>
                <w:rFonts w:hint="eastAsia" w:ascii="宋体" w:hAnsi="宋体" w:cs="宋体"/>
                <w:b/>
                <w:bCs/>
              </w:rPr>
            </w:pPr>
            <w:bookmarkStart w:id="74" w:name="_Toc347755016"/>
            <w:bookmarkStart w:id="75" w:name="_Toc342567512"/>
            <w:bookmarkStart w:id="76" w:name="_Toc317756593"/>
            <w:bookmarkStart w:id="77" w:name="_Toc346286149"/>
            <w:bookmarkStart w:id="78" w:name="_Toc346092735"/>
            <w:bookmarkStart w:id="79" w:name="_Toc347823201"/>
            <w:bookmarkStart w:id="80" w:name="_Toc465241476"/>
            <w:bookmarkStart w:id="81" w:name="_Toc17677"/>
            <w:r>
              <w:rPr>
                <w:rFonts w:hint="eastAsia" w:ascii="宋体" w:hAnsi="宋体" w:cs="宋体"/>
                <w:b/>
                <w:bCs/>
              </w:rPr>
              <w:t>项      目</w:t>
            </w:r>
          </w:p>
        </w:tc>
        <w:tc>
          <w:tcPr>
            <w:tcW w:w="2243" w:type="dxa"/>
            <w:shd w:val="clear" w:color="auto" w:fill="BEBEBE"/>
            <w:noWrap w:val="0"/>
            <w:vAlign w:val="center"/>
          </w:tcPr>
          <w:p>
            <w:pPr>
              <w:spacing w:line="360" w:lineRule="auto"/>
              <w:ind w:firstLine="0" w:firstLineChars="0"/>
              <w:jc w:val="center"/>
              <w:rPr>
                <w:rFonts w:hint="eastAsia" w:ascii="宋体" w:hAnsi="宋体" w:cs="宋体"/>
                <w:b/>
                <w:bCs/>
              </w:rPr>
            </w:pPr>
            <w:r>
              <w:rPr>
                <w:rFonts w:hint="eastAsia" w:ascii="宋体" w:hAnsi="宋体" w:cs="宋体"/>
                <w:b/>
                <w:bCs/>
              </w:rPr>
              <w:t>202</w:t>
            </w:r>
            <w:r>
              <w:rPr>
                <w:rFonts w:hint="eastAsia" w:ascii="宋体" w:hAnsi="宋体" w:cs="宋体"/>
                <w:b/>
                <w:bCs/>
                <w:lang w:val="en-US" w:eastAsia="zh-CN"/>
              </w:rPr>
              <w:t>2</w:t>
            </w:r>
            <w:r>
              <w:rPr>
                <w:rFonts w:hint="eastAsia" w:ascii="宋体" w:hAnsi="宋体" w:cs="宋体"/>
                <w:b/>
                <w:bCs/>
              </w:rPr>
              <w:t>年1-</w:t>
            </w:r>
            <w:r>
              <w:rPr>
                <w:rFonts w:hint="eastAsia" w:ascii="宋体" w:hAnsi="宋体" w:cs="宋体"/>
                <w:b/>
                <w:bCs/>
                <w:lang w:val="en-US" w:eastAsia="zh-CN"/>
              </w:rPr>
              <w:t>3</w:t>
            </w:r>
            <w:r>
              <w:rPr>
                <w:rFonts w:hint="eastAsia" w:ascii="宋体" w:hAnsi="宋体" w:cs="宋体"/>
                <w:b/>
                <w:bCs/>
              </w:rPr>
              <w:t>月</w:t>
            </w:r>
          </w:p>
        </w:tc>
        <w:tc>
          <w:tcPr>
            <w:tcW w:w="2453" w:type="dxa"/>
            <w:shd w:val="clear" w:color="auto" w:fill="BEBEBE"/>
            <w:noWrap w:val="0"/>
            <w:vAlign w:val="center"/>
          </w:tcPr>
          <w:p>
            <w:pPr>
              <w:spacing w:line="360" w:lineRule="auto"/>
              <w:ind w:firstLine="482"/>
              <w:jc w:val="center"/>
              <w:rPr>
                <w:rFonts w:ascii="宋体" w:hAnsi="宋体"/>
                <w:b/>
                <w:bCs/>
              </w:rPr>
            </w:pPr>
            <w:r>
              <w:rPr>
                <w:rFonts w:ascii="宋体" w:hAnsi="宋体"/>
                <w:b/>
                <w:bCs/>
              </w:rPr>
              <w:t>20</w:t>
            </w:r>
            <w:r>
              <w:rPr>
                <w:rFonts w:hint="eastAsia" w:ascii="宋体" w:hAnsi="宋体"/>
                <w:b/>
                <w:bCs/>
                <w:lang w:val="en-US" w:eastAsia="zh-CN"/>
              </w:rPr>
              <w:t>21</w:t>
            </w:r>
            <w:r>
              <w:rPr>
                <w:rFonts w:ascii="宋体" w:hAnsi="宋体"/>
                <w:b/>
                <w:bCs/>
              </w:rPr>
              <w:t>年度</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b/>
                <w:color w:val="000000"/>
              </w:rPr>
            </w:pPr>
            <w:r>
              <w:rPr>
                <w:rFonts w:hint="eastAsia" w:ascii="宋体" w:hAnsi="宋体" w:cs="宋体"/>
                <w:b/>
                <w:color w:val="000000"/>
                <w:kern w:val="0"/>
                <w:lang w:bidi="ar"/>
              </w:rPr>
              <w:t>一、经营活动产生的现金流量：</w:t>
            </w:r>
          </w:p>
        </w:tc>
        <w:tc>
          <w:tcPr>
            <w:tcW w:w="2243" w:type="dxa"/>
            <w:noWrap w:val="0"/>
            <w:vAlign w:val="center"/>
          </w:tcPr>
          <w:p>
            <w:pPr>
              <w:ind w:firstLine="480"/>
              <w:jc w:val="center"/>
              <w:rPr>
                <w:rFonts w:ascii="宋体" w:hAnsi="宋体" w:cs="Arial Narrow"/>
                <w:color w:val="000000"/>
              </w:rPr>
            </w:pPr>
          </w:p>
        </w:tc>
        <w:tc>
          <w:tcPr>
            <w:tcW w:w="2453" w:type="dxa"/>
            <w:noWrap w:val="0"/>
            <w:vAlign w:val="center"/>
          </w:tcPr>
          <w:p>
            <w:pPr>
              <w:ind w:firstLine="480"/>
              <w:jc w:val="center"/>
              <w:rPr>
                <w:rFonts w:ascii="宋体" w:hAnsi="宋体"/>
                <w:color w:val="000000"/>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 xml:space="preserve"> 销售商品、提供劳务收到的现金</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53,325,614.80</w:t>
            </w: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228,145,299.76 </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收到的税费返还</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收到其他与经营活动有关的现金</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21,178.98 </w:t>
            </w: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167,885.50 </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center"/>
              <w:textAlignment w:val="center"/>
              <w:rPr>
                <w:rFonts w:hint="eastAsia" w:ascii="宋体" w:hAnsi="宋体" w:cs="宋体"/>
                <w:color w:val="000000"/>
              </w:rPr>
            </w:pPr>
            <w:r>
              <w:rPr>
                <w:rFonts w:hint="eastAsia" w:ascii="宋体" w:hAnsi="宋体" w:cs="宋体"/>
                <w:b/>
                <w:bCs/>
                <w:color w:val="000000"/>
                <w:kern w:val="0"/>
                <w:lang w:bidi="ar"/>
              </w:rPr>
              <w:t>经营活动现金流入小计</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53,346,793.78</w:t>
            </w:r>
            <w:r>
              <w:rPr>
                <w:rFonts w:hint="default" w:ascii="Times New Roman" w:hAnsi="Times New Roman" w:eastAsia="宋体" w:cs="Times New Roman"/>
                <w:b/>
                <w:bCs/>
                <w:i w:val="0"/>
                <w:color w:val="auto"/>
                <w:kern w:val="2"/>
                <w:sz w:val="24"/>
                <w:szCs w:val="24"/>
                <w:u w:val="none"/>
                <w:lang w:val="en-US" w:eastAsia="zh-CN" w:bidi="ar-SA"/>
              </w:rPr>
              <w:t xml:space="preserve">  </w:t>
            </w: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228,</w:t>
            </w:r>
            <w:r>
              <w:rPr>
                <w:rFonts w:hint="eastAsia" w:ascii="Times New Roman" w:hAnsi="Times New Roman" w:eastAsia="宋体" w:cs="Times New Roman"/>
                <w:b/>
                <w:bCs/>
                <w:i w:val="0"/>
                <w:color w:val="auto"/>
                <w:kern w:val="2"/>
                <w:sz w:val="24"/>
                <w:szCs w:val="24"/>
                <w:u w:val="none"/>
                <w:lang w:val="en-US" w:eastAsia="zh-CN" w:bidi="ar-SA"/>
              </w:rPr>
              <w:t>313</w:t>
            </w:r>
            <w:r>
              <w:rPr>
                <w:rFonts w:hint="default" w:ascii="Times New Roman" w:hAnsi="Times New Roman" w:eastAsia="宋体" w:cs="Times New Roman"/>
                <w:b/>
                <w:bCs/>
                <w:i w:val="0"/>
                <w:color w:val="auto"/>
                <w:kern w:val="2"/>
                <w:sz w:val="24"/>
                <w:szCs w:val="24"/>
                <w:u w:val="none"/>
                <w:lang w:val="en-US" w:eastAsia="zh-CN" w:bidi="ar-SA"/>
              </w:rPr>
              <w:t>,</w:t>
            </w:r>
            <w:r>
              <w:rPr>
                <w:rFonts w:hint="eastAsia" w:ascii="Times New Roman" w:hAnsi="Times New Roman" w:eastAsia="宋体" w:cs="Times New Roman"/>
                <w:b/>
                <w:bCs/>
                <w:i w:val="0"/>
                <w:color w:val="auto"/>
                <w:kern w:val="2"/>
                <w:sz w:val="24"/>
                <w:szCs w:val="24"/>
                <w:u w:val="none"/>
                <w:lang w:val="en-US" w:eastAsia="zh-CN" w:bidi="ar-SA"/>
              </w:rPr>
              <w:t>185</w:t>
            </w:r>
            <w:r>
              <w:rPr>
                <w:rFonts w:hint="default" w:ascii="Times New Roman" w:hAnsi="Times New Roman" w:eastAsia="宋体" w:cs="Times New Roman"/>
                <w:b/>
                <w:bCs/>
                <w:i w:val="0"/>
                <w:color w:val="auto"/>
                <w:kern w:val="2"/>
                <w:sz w:val="24"/>
                <w:szCs w:val="24"/>
                <w:u w:val="none"/>
                <w:lang w:val="en-US" w:eastAsia="zh-CN" w:bidi="ar-SA"/>
              </w:rPr>
              <w:t>.</w:t>
            </w:r>
            <w:r>
              <w:rPr>
                <w:rFonts w:hint="eastAsia" w:ascii="Times New Roman" w:hAnsi="Times New Roman" w:eastAsia="宋体" w:cs="Times New Roman"/>
                <w:b/>
                <w:bCs/>
                <w:i w:val="0"/>
                <w:color w:val="auto"/>
                <w:kern w:val="2"/>
                <w:sz w:val="24"/>
                <w:szCs w:val="24"/>
                <w:u w:val="none"/>
                <w:lang w:val="en-US" w:eastAsia="zh-CN" w:bidi="ar-SA"/>
              </w:rPr>
              <w:t>2</w:t>
            </w:r>
            <w:r>
              <w:rPr>
                <w:rFonts w:hint="default" w:ascii="Times New Roman" w:hAnsi="Times New Roman" w:eastAsia="宋体" w:cs="Times New Roman"/>
                <w:b/>
                <w:bCs/>
                <w:i w:val="0"/>
                <w:color w:val="auto"/>
                <w:kern w:val="2"/>
                <w:sz w:val="24"/>
                <w:szCs w:val="24"/>
                <w:u w:val="none"/>
                <w:lang w:val="en-US" w:eastAsia="zh-CN" w:bidi="ar-SA"/>
              </w:rPr>
              <w:t xml:space="preserve">6 </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购买商品、接受劳务支付的现金</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42,825,182.63</w:t>
            </w: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202,634,994.84 </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支付给职工以及为职工支付的现金</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1,854,935.28</w:t>
            </w: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 6,999,798.36 </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支付的各项税费</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1,862,943.35</w:t>
            </w: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8,860,215.58 </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支付其他与经营活动有关的现金</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4,349,661.93</w:t>
            </w: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default" w:ascii="Times New Roman" w:hAnsi="Times New Roman" w:eastAsia="宋体" w:cs="Times New Roman"/>
                <w:i w:val="0"/>
                <w:color w:val="auto"/>
                <w:kern w:val="2"/>
                <w:sz w:val="24"/>
                <w:szCs w:val="24"/>
                <w:u w:val="none"/>
                <w:lang w:val="en-US" w:eastAsia="zh-CN" w:bidi="ar-SA"/>
              </w:rPr>
              <w:t xml:space="preserve">43,788,533.37 </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firstLine="480"/>
              <w:jc w:val="left"/>
              <w:textAlignment w:val="center"/>
              <w:rPr>
                <w:rFonts w:hint="eastAsia" w:ascii="宋体" w:hAnsi="宋体" w:cs="宋体"/>
                <w:color w:val="000000"/>
              </w:rPr>
            </w:pPr>
            <w:r>
              <w:rPr>
                <w:rFonts w:hint="eastAsia" w:ascii="宋体" w:hAnsi="宋体" w:cs="宋体"/>
                <w:color w:val="000000"/>
                <w:kern w:val="0"/>
                <w:lang w:bidi="ar"/>
              </w:rPr>
              <w:t xml:space="preserve"> </w:t>
            </w:r>
            <w:r>
              <w:rPr>
                <w:rFonts w:hint="eastAsia" w:ascii="宋体" w:hAnsi="宋体" w:cs="宋体"/>
                <w:b/>
                <w:bCs/>
                <w:color w:val="000000"/>
                <w:kern w:val="0"/>
                <w:lang w:bidi="ar"/>
              </w:rPr>
              <w:t>经营活动现金流出小计</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eastAsia" w:ascii="Times New Roman" w:hAnsi="Times New Roman" w:eastAsia="宋体" w:cs="Times New Roman"/>
                <w:b/>
                <w:bCs/>
                <w:i w:val="0"/>
                <w:color w:val="auto"/>
                <w:kern w:val="2"/>
                <w:sz w:val="24"/>
                <w:szCs w:val="24"/>
                <w:u w:val="none"/>
                <w:lang w:val="en-US" w:eastAsia="zh-CN" w:bidi="ar-SA"/>
              </w:rPr>
              <w:t>50,892,723.19</w:t>
            </w:r>
            <w:r>
              <w:rPr>
                <w:rFonts w:hint="default" w:ascii="Times New Roman" w:hAnsi="Times New Roman" w:eastAsia="宋体" w:cs="Times New Roman"/>
                <w:b/>
                <w:bCs/>
                <w:i w:val="0"/>
                <w:color w:val="auto"/>
                <w:kern w:val="2"/>
                <w:sz w:val="24"/>
                <w:szCs w:val="24"/>
                <w:u w:val="none"/>
                <w:lang w:val="en-US" w:eastAsia="zh-CN" w:bidi="ar-SA"/>
              </w:rPr>
              <w:t xml:space="preserve">  </w:t>
            </w: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2</w:t>
            </w:r>
            <w:r>
              <w:rPr>
                <w:rFonts w:hint="eastAsia" w:ascii="Times New Roman" w:hAnsi="Times New Roman" w:eastAsia="宋体" w:cs="Times New Roman"/>
                <w:b/>
                <w:bCs/>
                <w:i w:val="0"/>
                <w:color w:val="auto"/>
                <w:kern w:val="2"/>
                <w:sz w:val="24"/>
                <w:szCs w:val="24"/>
                <w:u w:val="none"/>
                <w:lang w:val="en-US" w:eastAsia="zh-CN" w:bidi="ar-SA"/>
              </w:rPr>
              <w:t>66</w:t>
            </w:r>
            <w:r>
              <w:rPr>
                <w:rFonts w:hint="default" w:ascii="Times New Roman" w:hAnsi="Times New Roman" w:eastAsia="宋体" w:cs="Times New Roman"/>
                <w:b/>
                <w:bCs/>
                <w:i w:val="0"/>
                <w:color w:val="auto"/>
                <w:kern w:val="2"/>
                <w:sz w:val="24"/>
                <w:szCs w:val="24"/>
                <w:u w:val="none"/>
                <w:lang w:val="en-US" w:eastAsia="zh-CN" w:bidi="ar-SA"/>
              </w:rPr>
              <w:t>,</w:t>
            </w:r>
            <w:r>
              <w:rPr>
                <w:rFonts w:hint="eastAsia" w:ascii="Times New Roman" w:hAnsi="Times New Roman" w:eastAsia="宋体" w:cs="Times New Roman"/>
                <w:b/>
                <w:bCs/>
                <w:i w:val="0"/>
                <w:color w:val="auto"/>
                <w:kern w:val="2"/>
                <w:sz w:val="24"/>
                <w:szCs w:val="24"/>
                <w:u w:val="none"/>
                <w:lang w:val="en-US" w:eastAsia="zh-CN" w:bidi="ar-SA"/>
              </w:rPr>
              <w:t>283</w:t>
            </w:r>
            <w:r>
              <w:rPr>
                <w:rFonts w:hint="default" w:ascii="Times New Roman" w:hAnsi="Times New Roman" w:eastAsia="宋体" w:cs="Times New Roman"/>
                <w:b/>
                <w:bCs/>
                <w:i w:val="0"/>
                <w:color w:val="auto"/>
                <w:kern w:val="2"/>
                <w:sz w:val="24"/>
                <w:szCs w:val="24"/>
                <w:u w:val="none"/>
                <w:lang w:val="en-US" w:eastAsia="zh-CN" w:bidi="ar-SA"/>
              </w:rPr>
              <w:t>,</w:t>
            </w:r>
            <w:r>
              <w:rPr>
                <w:rFonts w:hint="eastAsia" w:ascii="Times New Roman" w:hAnsi="Times New Roman" w:eastAsia="宋体" w:cs="Times New Roman"/>
                <w:b/>
                <w:bCs/>
                <w:i w:val="0"/>
                <w:color w:val="auto"/>
                <w:kern w:val="2"/>
                <w:sz w:val="24"/>
                <w:szCs w:val="24"/>
                <w:u w:val="none"/>
                <w:lang w:val="en-US" w:eastAsia="zh-CN" w:bidi="ar-SA"/>
              </w:rPr>
              <w:t>542</w:t>
            </w:r>
            <w:r>
              <w:rPr>
                <w:rFonts w:hint="default" w:ascii="Times New Roman" w:hAnsi="Times New Roman" w:eastAsia="宋体" w:cs="Times New Roman"/>
                <w:b/>
                <w:bCs/>
                <w:i w:val="0"/>
                <w:color w:val="auto"/>
                <w:kern w:val="2"/>
                <w:sz w:val="24"/>
                <w:szCs w:val="24"/>
                <w:u w:val="none"/>
                <w:lang w:val="en-US" w:eastAsia="zh-CN" w:bidi="ar-SA"/>
              </w:rPr>
              <w:t>.</w:t>
            </w:r>
            <w:r>
              <w:rPr>
                <w:rFonts w:hint="eastAsia" w:ascii="Times New Roman" w:hAnsi="Times New Roman" w:eastAsia="宋体" w:cs="Times New Roman"/>
                <w:b/>
                <w:bCs/>
                <w:i w:val="0"/>
                <w:color w:val="auto"/>
                <w:kern w:val="2"/>
                <w:sz w:val="24"/>
                <w:szCs w:val="24"/>
                <w:u w:val="none"/>
                <w:lang w:val="en-US" w:eastAsia="zh-CN" w:bidi="ar-SA"/>
              </w:rPr>
              <w:t>15</w:t>
            </w:r>
            <w:r>
              <w:rPr>
                <w:rFonts w:hint="default" w:ascii="Times New Roman" w:hAnsi="Times New Roman" w:eastAsia="宋体" w:cs="Times New Roman"/>
                <w:b/>
                <w:bCs/>
                <w:i w:val="0"/>
                <w:color w:val="auto"/>
                <w:kern w:val="2"/>
                <w:sz w:val="24"/>
                <w:szCs w:val="24"/>
                <w:u w:val="none"/>
                <w:lang w:val="en-US" w:eastAsia="zh-CN" w:bidi="ar-SA"/>
              </w:rPr>
              <w:t xml:space="preserve"> </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jc w:val="left"/>
              <w:textAlignment w:val="center"/>
              <w:rPr>
                <w:rFonts w:hint="eastAsia" w:ascii="宋体" w:hAnsi="宋体" w:cs="宋体"/>
                <w:b/>
                <w:color w:val="000000"/>
              </w:rPr>
            </w:pPr>
            <w:r>
              <w:rPr>
                <w:rFonts w:hint="eastAsia" w:ascii="宋体" w:hAnsi="宋体" w:cs="宋体"/>
                <w:b/>
                <w:color w:val="000000"/>
                <w:kern w:val="0"/>
                <w:lang w:bidi="ar"/>
              </w:rPr>
              <w:t>经营活动产生的现金流量净额</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2,454,070.59 </w:t>
            </w: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-33,970,356.89 </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b/>
                <w:color w:val="000000"/>
              </w:rPr>
            </w:pPr>
            <w:r>
              <w:rPr>
                <w:rFonts w:hint="eastAsia" w:ascii="宋体" w:hAnsi="宋体" w:cs="宋体"/>
                <w:b/>
                <w:color w:val="000000"/>
                <w:kern w:val="0"/>
                <w:lang w:bidi="ar"/>
              </w:rPr>
              <w:t>二、投资活动产生的现金流量：</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收回投资收到的现金</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取得投资收益收到的现金</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570"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处置固定资产、无形资产和其他长期资产收回的现金净额</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处置子公司及其他营业单位收到的现金净额</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收到其他与投资活动有关的现金</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center"/>
              <w:textAlignment w:val="center"/>
              <w:rPr>
                <w:rFonts w:hint="eastAsia" w:ascii="宋体" w:hAnsi="宋体" w:cs="宋体"/>
                <w:color w:val="000000"/>
              </w:rPr>
            </w:pPr>
            <w:r>
              <w:rPr>
                <w:rFonts w:hint="eastAsia" w:ascii="宋体" w:hAnsi="宋体" w:cs="宋体"/>
                <w:b/>
                <w:bCs/>
                <w:color w:val="000000"/>
                <w:kern w:val="0"/>
                <w:lang w:bidi="ar"/>
              </w:rPr>
              <w:t>投资活动现金流入小计</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 xml:space="preserve"> -   </w:t>
            </w: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r>
              <w:rPr>
                <w:rFonts w:hint="eastAsia" w:ascii="Times New Roman" w:hAnsi="Times New Roman" w:eastAsia="宋体" w:cs="Times New Roman"/>
                <w:i w:val="0"/>
                <w:color w:val="auto"/>
                <w:kern w:val="2"/>
                <w:sz w:val="24"/>
                <w:szCs w:val="24"/>
                <w:u w:val="none"/>
                <w:lang w:val="en-US" w:eastAsia="zh-CN" w:bidi="ar-SA"/>
              </w:rPr>
              <w:t xml:space="preserve"> -   </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 xml:space="preserve">购建固定资产、无形资产和其他长期资产支付的现金 </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2"/>
                <w:sz w:val="24"/>
                <w:szCs w:val="24"/>
                <w:u w:val="none"/>
                <w:lang w:val="en-US" w:eastAsia="zh-CN" w:bidi="ar-SA"/>
              </w:rPr>
            </w:pPr>
            <w:r>
              <w:rPr>
                <w:rFonts w:hint="eastAsia" w:ascii="Times New Roman" w:hAnsi="Times New Roman" w:eastAsia="宋体" w:cs="Times New Roman"/>
                <w:b w:val="0"/>
                <w:bCs w:val="0"/>
                <w:i w:val="0"/>
                <w:color w:val="auto"/>
                <w:kern w:val="2"/>
                <w:sz w:val="24"/>
                <w:szCs w:val="24"/>
                <w:u w:val="none"/>
                <w:lang w:val="en-US" w:eastAsia="zh-CN" w:bidi="ar-SA"/>
              </w:rPr>
              <w:t>1,214,148.81</w:t>
            </w: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10,543,901.18 </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投资支付的现金</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取得子公司及其他营业单位支付的现金净额</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支付其他与投资活动有关的现金</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center"/>
              <w:textAlignment w:val="center"/>
              <w:rPr>
                <w:rFonts w:hint="eastAsia" w:ascii="宋体" w:hAnsi="宋体" w:cs="宋体"/>
                <w:b/>
                <w:bCs/>
                <w:color w:val="000000"/>
              </w:rPr>
            </w:pPr>
            <w:r>
              <w:rPr>
                <w:rFonts w:hint="eastAsia" w:ascii="宋体" w:hAnsi="宋体" w:cs="宋体"/>
                <w:b/>
                <w:bCs/>
                <w:color w:val="000000"/>
                <w:kern w:val="0"/>
                <w:lang w:bidi="ar"/>
              </w:rPr>
              <w:t>投资活动现金流出小计</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1,214,148.81 </w:t>
            </w: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10,543,901.18 </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center"/>
              <w:textAlignment w:val="center"/>
              <w:rPr>
                <w:rFonts w:hint="eastAsia" w:ascii="宋体" w:hAnsi="宋体" w:cs="宋体"/>
                <w:b/>
                <w:bCs/>
                <w:color w:val="000000"/>
              </w:rPr>
            </w:pPr>
            <w:r>
              <w:rPr>
                <w:rFonts w:hint="eastAsia" w:ascii="宋体" w:hAnsi="宋体" w:cs="宋体"/>
                <w:b/>
                <w:bCs/>
                <w:color w:val="000000"/>
                <w:kern w:val="0"/>
                <w:lang w:bidi="ar"/>
              </w:rPr>
              <w:t>投资活动产生的现金流量净额</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eastAsia" w:ascii="Times New Roman" w:hAnsi="Times New Roman" w:eastAsia="宋体" w:cs="Times New Roman"/>
                <w:b/>
                <w:bCs/>
                <w:i w:val="0"/>
                <w:color w:val="auto"/>
                <w:kern w:val="2"/>
                <w:sz w:val="24"/>
                <w:szCs w:val="24"/>
                <w:u w:val="none"/>
                <w:lang w:val="en-US" w:eastAsia="zh-CN" w:bidi="ar-SA"/>
              </w:rPr>
              <w:t>-</w:t>
            </w:r>
            <w:r>
              <w:rPr>
                <w:rFonts w:hint="default" w:ascii="Times New Roman" w:hAnsi="Times New Roman" w:eastAsia="宋体" w:cs="Times New Roman"/>
                <w:b/>
                <w:bCs/>
                <w:i w:val="0"/>
                <w:color w:val="auto"/>
                <w:kern w:val="2"/>
                <w:sz w:val="24"/>
                <w:szCs w:val="24"/>
                <w:u w:val="none"/>
                <w:lang w:val="en-US" w:eastAsia="zh-CN" w:bidi="ar-SA"/>
              </w:rPr>
              <w:t xml:space="preserve">1,214,148.81 </w:t>
            </w: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eastAsia" w:ascii="Times New Roman" w:hAnsi="Times New Roman" w:eastAsia="宋体" w:cs="Times New Roman"/>
                <w:b/>
                <w:bCs/>
                <w:i w:val="0"/>
                <w:color w:val="auto"/>
                <w:kern w:val="2"/>
                <w:sz w:val="24"/>
                <w:szCs w:val="24"/>
                <w:u w:val="none"/>
                <w:lang w:val="en-US" w:eastAsia="zh-CN" w:bidi="ar-SA"/>
              </w:rPr>
              <w:t>-</w:t>
            </w:r>
            <w:r>
              <w:rPr>
                <w:rFonts w:hint="default" w:ascii="Times New Roman" w:hAnsi="Times New Roman" w:eastAsia="宋体" w:cs="Times New Roman"/>
                <w:b/>
                <w:bCs/>
                <w:i w:val="0"/>
                <w:color w:val="auto"/>
                <w:kern w:val="2"/>
                <w:sz w:val="24"/>
                <w:szCs w:val="24"/>
                <w:u w:val="none"/>
                <w:lang w:val="en-US" w:eastAsia="zh-CN" w:bidi="ar-SA"/>
              </w:rPr>
              <w:t xml:space="preserve">10,543,901.18 </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b/>
                <w:color w:val="000000"/>
              </w:rPr>
            </w:pPr>
            <w:r>
              <w:rPr>
                <w:rFonts w:hint="eastAsia" w:ascii="宋体" w:hAnsi="宋体" w:cs="宋体"/>
                <w:b/>
                <w:color w:val="000000"/>
                <w:kern w:val="0"/>
                <w:lang w:bidi="ar"/>
              </w:rPr>
              <w:t>三、筹资活动产生的现金流量：</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吸收投资收到的现金</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取得借款收到的现金</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发行债券收到的现金</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收到其他与筹资活动有关的现金</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center"/>
              <w:textAlignment w:val="center"/>
              <w:rPr>
                <w:rFonts w:hint="eastAsia" w:ascii="宋体" w:hAnsi="宋体" w:cs="宋体"/>
                <w:color w:val="000000"/>
              </w:rPr>
            </w:pPr>
            <w:r>
              <w:rPr>
                <w:rFonts w:hint="eastAsia" w:ascii="宋体" w:hAnsi="宋体" w:cs="宋体"/>
                <w:b/>
                <w:bCs/>
                <w:color w:val="000000"/>
                <w:kern w:val="0"/>
                <w:highlight w:val="none"/>
                <w:lang w:bidi="ar"/>
              </w:rPr>
              <w:t>筹资活动现金流入小计</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偿还债务支付的现金</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分配股利、利润或偿付利息支付的现金</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支付其他与筹资活动有关的现金</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center"/>
              <w:textAlignment w:val="center"/>
              <w:rPr>
                <w:rFonts w:hint="eastAsia" w:ascii="宋体" w:hAnsi="宋体" w:cs="宋体"/>
                <w:color w:val="000000"/>
              </w:rPr>
            </w:pPr>
            <w:r>
              <w:rPr>
                <w:rFonts w:hint="eastAsia" w:ascii="宋体" w:hAnsi="宋体" w:cs="宋体"/>
                <w:b/>
                <w:bCs/>
                <w:color w:val="000000"/>
                <w:kern w:val="0"/>
                <w:lang w:bidi="ar"/>
              </w:rPr>
              <w:t>筹资活动现金流出小计</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center"/>
              <w:textAlignment w:val="center"/>
              <w:rPr>
                <w:rFonts w:hint="eastAsia" w:ascii="宋体" w:hAnsi="宋体" w:cs="宋体"/>
                <w:b/>
                <w:color w:val="000000"/>
              </w:rPr>
            </w:pPr>
            <w:r>
              <w:rPr>
                <w:rFonts w:hint="eastAsia" w:ascii="宋体" w:hAnsi="宋体" w:cs="宋体"/>
                <w:b/>
                <w:color w:val="000000"/>
                <w:kern w:val="0"/>
                <w:lang w:bidi="ar"/>
              </w:rPr>
              <w:t>筹资活动产生的现金流量净额</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b/>
                <w:color w:val="000000"/>
              </w:rPr>
            </w:pPr>
            <w:r>
              <w:rPr>
                <w:rFonts w:hint="eastAsia" w:ascii="宋体" w:hAnsi="宋体" w:cs="宋体"/>
                <w:b/>
                <w:color w:val="000000"/>
                <w:kern w:val="0"/>
                <w:lang w:bidi="ar"/>
              </w:rPr>
              <w:t>四、汇率变动对现金及现金等价物的影响</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i w:val="0"/>
                <w:color w:val="auto"/>
                <w:kern w:val="2"/>
                <w:sz w:val="24"/>
                <w:szCs w:val="24"/>
                <w:u w:val="none"/>
                <w:lang w:val="en-US" w:eastAsia="zh-CN" w:bidi="ar-SA"/>
              </w:rPr>
            </w:pP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b/>
                <w:color w:val="000000"/>
              </w:rPr>
            </w:pPr>
            <w:r>
              <w:rPr>
                <w:rFonts w:hint="eastAsia" w:ascii="宋体" w:hAnsi="宋体" w:cs="宋体"/>
                <w:b/>
                <w:color w:val="000000"/>
                <w:kern w:val="0"/>
                <w:lang w:bidi="ar"/>
              </w:rPr>
              <w:t>五、现金及现金等价物净增加额</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1,045,796.53 </w:t>
            </w: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2"/>
                <w:sz w:val="24"/>
                <w:szCs w:val="24"/>
                <w:u w:val="none"/>
                <w:lang w:val="en-US" w:eastAsia="zh-CN" w:bidi="ar-SA"/>
              </w:rPr>
            </w:pPr>
            <w:r>
              <w:rPr>
                <w:rFonts w:hint="default" w:ascii="Times New Roman" w:hAnsi="Times New Roman" w:eastAsia="宋体" w:cs="Times New Roman"/>
                <w:b w:val="0"/>
                <w:bCs w:val="0"/>
                <w:i w:val="0"/>
                <w:color w:val="auto"/>
                <w:kern w:val="2"/>
                <w:sz w:val="24"/>
                <w:szCs w:val="24"/>
                <w:u w:val="none"/>
                <w:lang w:val="en-US" w:eastAsia="zh-CN" w:bidi="ar-SA"/>
              </w:rPr>
              <w:t xml:space="preserve"> -3,494,527.22 </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color w:val="000000"/>
              </w:rPr>
            </w:pPr>
            <w:r>
              <w:rPr>
                <w:rFonts w:hint="eastAsia" w:ascii="宋体" w:hAnsi="宋体" w:cs="宋体"/>
                <w:color w:val="000000"/>
                <w:kern w:val="0"/>
                <w:lang w:bidi="ar"/>
              </w:rPr>
              <w:t>加：期初现金及现金等价物余额</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2"/>
                <w:sz w:val="24"/>
                <w:szCs w:val="24"/>
                <w:u w:val="none"/>
                <w:lang w:val="en-US" w:eastAsia="zh-CN" w:bidi="ar-SA"/>
              </w:rPr>
            </w:pPr>
            <w:r>
              <w:rPr>
                <w:rFonts w:hint="eastAsia" w:ascii="Times New Roman" w:hAnsi="Times New Roman" w:eastAsia="宋体" w:cs="Times New Roman"/>
                <w:b w:val="0"/>
                <w:bCs w:val="0"/>
                <w:i w:val="0"/>
                <w:color w:val="auto"/>
                <w:kern w:val="2"/>
                <w:sz w:val="24"/>
                <w:szCs w:val="24"/>
                <w:u w:val="none"/>
                <w:lang w:val="en-US" w:eastAsia="zh-CN" w:bidi="ar-SA"/>
              </w:rPr>
              <w:t>2,721,960.01</w:t>
            </w: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2"/>
                <w:sz w:val="24"/>
                <w:szCs w:val="24"/>
                <w:u w:val="none"/>
                <w:lang w:val="en-US" w:eastAsia="zh-CN" w:bidi="ar-SA"/>
              </w:rPr>
            </w:pPr>
            <w:r>
              <w:rPr>
                <w:rFonts w:hint="eastAsia" w:ascii="Times New Roman" w:hAnsi="Times New Roman" w:eastAsia="宋体" w:cs="Times New Roman"/>
                <w:b w:val="0"/>
                <w:bCs w:val="0"/>
                <w:i w:val="0"/>
                <w:color w:val="auto"/>
                <w:kern w:val="2"/>
                <w:sz w:val="24"/>
                <w:szCs w:val="24"/>
                <w:u w:val="none"/>
                <w:lang w:val="en-US" w:eastAsia="zh-CN" w:bidi="ar-SA"/>
              </w:rPr>
              <w:t>6,216,487.23</w:t>
            </w:r>
          </w:p>
        </w:tc>
      </w:tr>
      <w:tr>
        <w:tblPrEx>
          <w:tblBorders>
            <w:top w:val="thinThickSmallGap" w:color="000000" w:sz="12" w:space="0"/>
            <w:left w:val="thinThickSmallGap" w:color="000000" w:sz="12" w:space="0"/>
            <w:bottom w:val="thickThinSmallGap" w:color="000000" w:sz="12" w:space="0"/>
            <w:right w:val="thickThinSmallGap"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3676" w:type="dxa"/>
            <w:noWrap w:val="0"/>
            <w:vAlign w:val="center"/>
          </w:tcPr>
          <w:p>
            <w:pPr>
              <w:widowControl/>
              <w:ind w:left="0" w:leftChars="0" w:firstLine="0" w:firstLineChars="0"/>
              <w:jc w:val="left"/>
              <w:textAlignment w:val="center"/>
              <w:rPr>
                <w:rFonts w:hint="eastAsia" w:ascii="宋体" w:hAnsi="宋体" w:cs="宋体"/>
                <w:b/>
                <w:color w:val="000000"/>
              </w:rPr>
            </w:pPr>
            <w:r>
              <w:rPr>
                <w:rFonts w:hint="eastAsia" w:ascii="宋体" w:hAnsi="宋体" w:cs="宋体"/>
                <w:b/>
                <w:color w:val="000000"/>
                <w:kern w:val="0"/>
                <w:lang w:bidi="ar"/>
              </w:rPr>
              <w:t>六、期末现金及现金等价物余额</w:t>
            </w:r>
          </w:p>
        </w:tc>
        <w:tc>
          <w:tcPr>
            <w:tcW w:w="224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 3,767,756.54 </w:t>
            </w:r>
          </w:p>
        </w:tc>
        <w:tc>
          <w:tcPr>
            <w:tcW w:w="2453" w:type="dxa"/>
            <w:noWrap w:val="0"/>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bCs/>
                <w:i w:val="0"/>
                <w:color w:val="auto"/>
                <w:kern w:val="2"/>
                <w:sz w:val="24"/>
                <w:szCs w:val="24"/>
                <w:u w:val="none"/>
                <w:lang w:val="en-US" w:eastAsia="zh-CN" w:bidi="ar-SA"/>
              </w:rPr>
            </w:pPr>
            <w:r>
              <w:rPr>
                <w:rFonts w:hint="default" w:ascii="Times New Roman" w:hAnsi="Times New Roman" w:eastAsia="宋体" w:cs="Times New Roman"/>
                <w:b/>
                <w:bCs/>
                <w:i w:val="0"/>
                <w:color w:val="auto"/>
                <w:kern w:val="2"/>
                <w:sz w:val="24"/>
                <w:szCs w:val="24"/>
                <w:u w:val="none"/>
                <w:lang w:val="en-US" w:eastAsia="zh-CN" w:bidi="ar-SA"/>
              </w:rPr>
              <w:t xml:space="preserve">2,721,960.01 </w:t>
            </w:r>
          </w:p>
        </w:tc>
      </w:tr>
    </w:tbl>
    <w:p>
      <w:pPr>
        <w:pStyle w:val="3"/>
        <w:spacing w:before="156" w:beforeLines="50" w:after="0" w:line="360" w:lineRule="auto"/>
        <w:ind w:firstLine="480"/>
        <w:rPr>
          <w:rFonts w:hint="eastAsia" w:ascii="Times New Roman" w:hAnsi="Times New Roman" w:eastAsia="宋体"/>
          <w:caps w:val="0"/>
          <w:sz w:val="24"/>
          <w:szCs w:val="24"/>
          <w:lang w:eastAsia="zh-CN"/>
        </w:rPr>
      </w:pPr>
      <w:r>
        <w:rPr>
          <w:rFonts w:hint="eastAsia" w:ascii="Times New Roman" w:hAnsi="Times New Roman" w:eastAsia="宋体"/>
          <w:caps w:val="0"/>
          <w:sz w:val="24"/>
          <w:szCs w:val="24"/>
        </w:rPr>
        <w:t>六、</w:t>
      </w:r>
      <w:bookmarkEnd w:id="74"/>
      <w:bookmarkEnd w:id="75"/>
      <w:bookmarkEnd w:id="76"/>
      <w:bookmarkEnd w:id="77"/>
      <w:bookmarkEnd w:id="78"/>
      <w:bookmarkEnd w:id="79"/>
      <w:r>
        <w:rPr>
          <w:rFonts w:hint="eastAsia" w:ascii="Times New Roman" w:hAnsi="Times New Roman" w:eastAsia="宋体"/>
          <w:caps w:val="0"/>
          <w:sz w:val="24"/>
          <w:szCs w:val="24"/>
        </w:rPr>
        <w:t>公司</w:t>
      </w:r>
      <w:bookmarkEnd w:id="80"/>
      <w:r>
        <w:rPr>
          <w:rFonts w:hint="eastAsia" w:ascii="Times New Roman" w:hAnsi="Times New Roman" w:eastAsia="宋体"/>
          <w:caps w:val="0"/>
          <w:sz w:val="24"/>
          <w:szCs w:val="24"/>
          <w:lang w:eastAsia="zh-CN"/>
        </w:rPr>
        <w:t>经营目标及计划</w:t>
      </w:r>
      <w:bookmarkEnd w:id="81"/>
    </w:p>
    <w:p>
      <w:pPr>
        <w:ind w:firstLine="480"/>
        <w:rPr>
          <w:rFonts w:hint="eastAsia" w:ascii="Times New Roman" w:hAnsi="Times New Roman" w:eastAsia="黑体"/>
          <w:caps w:val="0"/>
          <w:sz w:val="30"/>
          <w:szCs w:val="30"/>
        </w:rPr>
      </w:pPr>
      <w:bookmarkStart w:id="82" w:name="_Toc24508"/>
      <w:r>
        <w:rPr>
          <w:rFonts w:hint="eastAsia" w:ascii="宋体" w:hAnsi="宋体" w:cs="宋体"/>
          <w:lang w:eastAsia="zh-CN"/>
        </w:rPr>
        <w:t xml:space="preserve">山东兴恒环境科技集团有限公司 </w:t>
      </w:r>
      <w:r>
        <w:rPr>
          <w:rFonts w:hint="eastAsia" w:ascii="宋体" w:hAnsi="宋体" w:cs="宋体"/>
        </w:rPr>
        <w:t>未来的经营目标</w:t>
      </w:r>
      <w:r>
        <w:rPr>
          <w:rFonts w:hint="eastAsia" w:ascii="宋体" w:hAnsi="宋体" w:cs="宋体"/>
          <w:lang w:val="en-US" w:eastAsia="zh-CN"/>
        </w:rPr>
        <w:t>是</w:t>
      </w:r>
      <w:r>
        <w:rPr>
          <w:rFonts w:hint="eastAsia" w:ascii="宋体" w:hAnsi="宋体" w:cs="宋体"/>
        </w:rPr>
        <w:t>为生活创造价值，树立负责任、值得信赖的世界一流企业形象。为社会提供产品和服务，扩大社会就业，开展社会公益活动，成为负责任的企业公民典范。力争使企业未来三年每年以</w:t>
      </w:r>
      <w:r>
        <w:rPr>
          <w:rFonts w:hint="eastAsia" w:ascii="宋体" w:hAnsi="宋体" w:cs="宋体"/>
          <w:lang w:val="en-US" w:eastAsia="zh-CN"/>
        </w:rPr>
        <w:t>15</w:t>
      </w:r>
      <w:r>
        <w:rPr>
          <w:rFonts w:hint="eastAsia" w:ascii="宋体" w:hAnsi="宋体" w:cs="宋体"/>
        </w:rPr>
        <w:t>%以上的速度增长</w:t>
      </w:r>
      <w:r>
        <w:rPr>
          <w:rFonts w:hint="eastAsia" w:ascii="宋体" w:hAnsi="宋体" w:cs="宋体"/>
          <w:lang w:eastAsia="zh-CN"/>
        </w:rPr>
        <w:t>，</w:t>
      </w:r>
      <w:r>
        <w:rPr>
          <w:rFonts w:hint="eastAsia" w:ascii="宋体" w:hAnsi="宋体" w:cs="宋体"/>
        </w:rPr>
        <w:t>为实现这一目标，</w:t>
      </w:r>
      <w:r>
        <w:rPr>
          <w:rFonts w:hint="eastAsia" w:ascii="宋体" w:hAnsi="宋体" w:cs="宋体"/>
          <w:lang w:val="en-US" w:eastAsia="zh-CN"/>
        </w:rPr>
        <w:t>公司将</w:t>
      </w:r>
      <w:r>
        <w:rPr>
          <w:rFonts w:hint="eastAsia" w:ascii="宋体" w:hAnsi="宋体" w:cs="宋体"/>
        </w:rPr>
        <w:t>深入研究客户需求，及时发现、挖掘和引领未来的市场机会，精准市场定位、产品定位和品牌定位。在发现和把握潜在客户需求的基础上，不断创造新的市场需求。视质量为生命，狠抓产品质量，以最大可能为客户做到最好！满足客户对产品的需求和各种要求。</w:t>
      </w:r>
    </w:p>
    <w:p>
      <w:pPr>
        <w:pStyle w:val="2"/>
        <w:spacing w:before="0" w:after="0" w:line="360" w:lineRule="auto"/>
        <w:jc w:val="center"/>
        <w:rPr>
          <w:rFonts w:hint="eastAsia" w:ascii="Times New Roman" w:hAnsi="Times New Roman" w:eastAsia="黑体"/>
          <w:caps w:val="0"/>
          <w:sz w:val="30"/>
          <w:szCs w:val="30"/>
        </w:rPr>
      </w:pPr>
    </w:p>
    <w:p>
      <w:pPr>
        <w:pStyle w:val="2"/>
        <w:spacing w:before="0" w:after="0" w:line="360" w:lineRule="auto"/>
        <w:jc w:val="center"/>
        <w:rPr>
          <w:rFonts w:hint="eastAsia" w:ascii="Times New Roman" w:hAnsi="Times New Roman" w:eastAsia="黑体"/>
          <w:caps w:val="0"/>
          <w:sz w:val="30"/>
          <w:szCs w:val="30"/>
        </w:rPr>
      </w:pPr>
    </w:p>
    <w:p>
      <w:pPr>
        <w:pStyle w:val="2"/>
        <w:spacing w:before="0" w:after="0" w:line="360" w:lineRule="auto"/>
        <w:jc w:val="center"/>
        <w:rPr>
          <w:rFonts w:hint="eastAsia" w:ascii="Times New Roman" w:hAnsi="Times New Roman" w:eastAsia="黑体"/>
          <w:caps w:val="0"/>
          <w:sz w:val="30"/>
          <w:szCs w:val="30"/>
        </w:rPr>
      </w:pPr>
    </w:p>
    <w:p>
      <w:pPr>
        <w:pStyle w:val="2"/>
        <w:spacing w:before="0" w:after="0" w:line="360" w:lineRule="auto"/>
        <w:jc w:val="center"/>
        <w:rPr>
          <w:rFonts w:hint="eastAsia" w:ascii="Times New Roman" w:hAnsi="Times New Roman" w:eastAsia="黑体"/>
          <w:caps w:val="0"/>
          <w:sz w:val="30"/>
          <w:szCs w:val="30"/>
        </w:rPr>
      </w:pPr>
    </w:p>
    <w:p>
      <w:pPr>
        <w:pStyle w:val="2"/>
        <w:spacing w:before="0" w:after="0" w:line="360" w:lineRule="auto"/>
        <w:jc w:val="center"/>
        <w:rPr>
          <w:rFonts w:hint="eastAsia" w:ascii="Times New Roman" w:hAnsi="Times New Roman" w:eastAsia="黑体"/>
          <w:caps w:val="0"/>
          <w:sz w:val="30"/>
          <w:szCs w:val="30"/>
        </w:rPr>
      </w:pPr>
    </w:p>
    <w:p>
      <w:pPr>
        <w:pStyle w:val="2"/>
        <w:spacing w:before="0" w:after="0" w:line="360" w:lineRule="auto"/>
        <w:jc w:val="center"/>
        <w:rPr>
          <w:rFonts w:hint="eastAsia" w:ascii="Times New Roman" w:hAnsi="Times New Roman" w:eastAsia="黑体"/>
          <w:caps w:val="0"/>
          <w:sz w:val="30"/>
          <w:szCs w:val="30"/>
        </w:rPr>
      </w:pPr>
    </w:p>
    <w:p>
      <w:pPr>
        <w:rPr>
          <w:rFonts w:hint="eastAsia"/>
        </w:rPr>
      </w:pPr>
    </w:p>
    <w:p>
      <w:pPr>
        <w:pStyle w:val="2"/>
        <w:spacing w:before="0" w:after="0" w:line="360" w:lineRule="auto"/>
        <w:jc w:val="center"/>
        <w:rPr>
          <w:rFonts w:hint="eastAsia" w:ascii="Times New Roman" w:hAnsi="Times New Roman" w:eastAsia="黑体"/>
          <w:caps w:val="0"/>
          <w:sz w:val="30"/>
          <w:szCs w:val="30"/>
        </w:rPr>
      </w:pPr>
    </w:p>
    <w:p>
      <w:pPr>
        <w:pStyle w:val="2"/>
        <w:spacing w:before="0" w:after="0" w:line="360" w:lineRule="auto"/>
        <w:jc w:val="center"/>
        <w:rPr>
          <w:rFonts w:hint="eastAsia" w:ascii="Times New Roman" w:hAnsi="Times New Roman" w:eastAsia="黑体"/>
          <w:caps w:val="0"/>
          <w:sz w:val="30"/>
          <w:szCs w:val="30"/>
          <w:lang w:val="en-US"/>
        </w:rPr>
      </w:pPr>
      <w:r>
        <w:rPr>
          <w:rFonts w:hint="eastAsia" w:ascii="Times New Roman" w:hAnsi="Times New Roman" w:eastAsia="黑体"/>
          <w:caps w:val="0"/>
          <w:sz w:val="30"/>
          <w:szCs w:val="30"/>
        </w:rPr>
        <w:t>第三</w:t>
      </w:r>
      <w:r>
        <w:rPr>
          <w:rFonts w:hint="eastAsia" w:ascii="Times New Roman" w:hAnsi="Times New Roman" w:eastAsia="黑体"/>
          <w:caps w:val="0"/>
          <w:sz w:val="30"/>
          <w:szCs w:val="30"/>
          <w:lang w:val="en-US" w:eastAsia="zh-CN"/>
        </w:rPr>
        <w:t>章 本次挂牌的有关机构</w:t>
      </w:r>
      <w:bookmarkEnd w:id="82"/>
    </w:p>
    <w:p>
      <w:pPr>
        <w:pStyle w:val="3"/>
        <w:spacing w:before="156" w:beforeLines="50" w:after="0" w:line="360" w:lineRule="auto"/>
        <w:ind w:firstLine="480"/>
        <w:rPr>
          <w:rFonts w:hint="eastAsia" w:ascii="Times New Roman" w:hAnsi="Times New Roman" w:eastAsia="宋体"/>
          <w:caps w:val="0"/>
          <w:sz w:val="24"/>
          <w:szCs w:val="24"/>
          <w:lang w:eastAsia="zh-CN"/>
        </w:rPr>
      </w:pPr>
      <w:bookmarkStart w:id="83" w:name="_Toc15389"/>
      <w:r>
        <w:rPr>
          <w:rFonts w:hint="eastAsia" w:ascii="Times New Roman" w:hAnsi="Times New Roman" w:eastAsia="宋体"/>
          <w:caps w:val="0"/>
          <w:sz w:val="24"/>
          <w:szCs w:val="24"/>
          <w:lang w:val="en-US" w:eastAsia="zh-CN"/>
        </w:rPr>
        <w:t>一</w:t>
      </w:r>
      <w:r>
        <w:rPr>
          <w:rFonts w:hint="eastAsia" w:ascii="Times New Roman" w:hAnsi="Times New Roman" w:eastAsia="宋体"/>
          <w:caps w:val="0"/>
          <w:sz w:val="24"/>
          <w:szCs w:val="24"/>
        </w:rPr>
        <w:t>、</w:t>
      </w:r>
      <w:r>
        <w:rPr>
          <w:rFonts w:hint="eastAsia" w:ascii="Times New Roman" w:hAnsi="Times New Roman" w:eastAsia="宋体"/>
          <w:caps w:val="0"/>
          <w:sz w:val="24"/>
          <w:szCs w:val="24"/>
          <w:lang w:val="en-US" w:eastAsia="zh-CN"/>
        </w:rPr>
        <w:t>推荐机构</w:t>
      </w:r>
      <w:bookmarkEnd w:id="83"/>
    </w:p>
    <w:p>
      <w:pPr>
        <w:spacing w:line="360" w:lineRule="auto"/>
        <w:ind w:firstLine="480"/>
        <w:rPr>
          <w:rFonts w:hint="eastAsia" w:ascii="Times New Roman" w:hAnsi="Times New Roman" w:cs="宋体"/>
          <w:caps w:val="0"/>
        </w:rPr>
      </w:pPr>
      <w:r>
        <w:rPr>
          <w:rFonts w:hint="eastAsia" w:ascii="Times New Roman" w:hAnsi="Times New Roman" w:cs="宋体"/>
          <w:caps w:val="0"/>
        </w:rPr>
        <w:t>名    称：中泰证券股份有限公司</w:t>
      </w:r>
    </w:p>
    <w:p>
      <w:pPr>
        <w:spacing w:line="360" w:lineRule="auto"/>
        <w:ind w:firstLine="480"/>
        <w:rPr>
          <w:rFonts w:hint="eastAsia" w:ascii="Times New Roman" w:hAnsi="Times New Roman" w:cs="宋体"/>
          <w:caps w:val="0"/>
        </w:rPr>
      </w:pPr>
      <w:r>
        <w:rPr>
          <w:rFonts w:hint="eastAsia" w:ascii="Times New Roman" w:hAnsi="Times New Roman" w:cs="宋体"/>
          <w:caps w:val="0"/>
        </w:rPr>
        <w:t>办公地址：济南市市中区经七路86号</w:t>
      </w:r>
    </w:p>
    <w:p>
      <w:pPr>
        <w:spacing w:line="360" w:lineRule="auto"/>
        <w:ind w:firstLine="480"/>
        <w:rPr>
          <w:rFonts w:hint="eastAsia" w:ascii="Times New Roman" w:hAnsi="Times New Roman" w:eastAsia="宋体" w:cs="宋体"/>
          <w:caps w:val="0"/>
          <w:lang w:eastAsia="zh-CN"/>
        </w:rPr>
      </w:pPr>
      <w:r>
        <w:rPr>
          <w:rFonts w:hint="eastAsia" w:ascii="Times New Roman" w:hAnsi="Times New Roman" w:cs="宋体"/>
          <w:caps w:val="0"/>
        </w:rPr>
        <w:t>法定代表人（负责人）：</w:t>
      </w:r>
      <w:r>
        <w:rPr>
          <w:rFonts w:hint="eastAsia" w:cs="宋体"/>
          <w:caps w:val="0"/>
          <w:lang w:val="en-US" w:eastAsia="zh-CN"/>
        </w:rPr>
        <w:t>李峰</w:t>
      </w:r>
    </w:p>
    <w:p>
      <w:pPr>
        <w:spacing w:line="360" w:lineRule="auto"/>
        <w:ind w:firstLine="480"/>
        <w:rPr>
          <w:rFonts w:hint="eastAsia" w:cs="宋体"/>
          <w:caps w:val="0"/>
          <w:color w:val="auto"/>
          <w:lang w:val="en-US" w:eastAsia="zh-CN"/>
        </w:rPr>
      </w:pPr>
      <w:r>
        <w:rPr>
          <w:rFonts w:hint="eastAsia" w:ascii="Times New Roman" w:hAnsi="Times New Roman" w:cs="宋体"/>
          <w:caps w:val="0"/>
        </w:rPr>
        <w:t>推荐经办人：</w:t>
      </w:r>
      <w:r>
        <w:rPr>
          <w:rFonts w:hint="eastAsia" w:cs="宋体"/>
          <w:caps w:val="0"/>
          <w:lang w:val="en-US" w:eastAsia="zh-CN"/>
        </w:rPr>
        <w:t xml:space="preserve">刘思桐 </w:t>
      </w:r>
      <w:r>
        <w:rPr>
          <w:rFonts w:hint="eastAsia" w:cs="宋体"/>
          <w:caps w:val="0"/>
          <w:color w:val="auto"/>
          <w:lang w:val="en-US" w:eastAsia="zh-CN"/>
        </w:rPr>
        <w:t>杨梅峤</w:t>
      </w:r>
    </w:p>
    <w:p>
      <w:pPr>
        <w:spacing w:line="360" w:lineRule="auto"/>
        <w:ind w:firstLine="480"/>
        <w:rPr>
          <w:rFonts w:hint="eastAsia" w:ascii="Times New Roman" w:hAnsi="Times New Roman" w:cs="宋体"/>
          <w:caps w:val="0"/>
        </w:rPr>
      </w:pPr>
      <w:r>
        <w:rPr>
          <w:rFonts w:hint="eastAsia" w:ascii="Times New Roman" w:hAnsi="Times New Roman" w:cs="宋体"/>
          <w:caps w:val="0"/>
        </w:rPr>
        <w:t>电    话：0534-2627169</w:t>
      </w:r>
    </w:p>
    <w:p>
      <w:pPr>
        <w:spacing w:line="360" w:lineRule="auto"/>
        <w:ind w:firstLine="480"/>
        <w:rPr>
          <w:rFonts w:hint="eastAsia" w:ascii="Times New Roman" w:hAnsi="Times New Roman" w:cs="宋体"/>
          <w:caps w:val="0"/>
        </w:rPr>
      </w:pPr>
      <w:r>
        <w:rPr>
          <w:rFonts w:hint="eastAsia" w:ascii="Times New Roman" w:hAnsi="Times New Roman" w:cs="宋体"/>
          <w:caps w:val="0"/>
        </w:rPr>
        <w:t>传    真：0534-2627169</w:t>
      </w:r>
    </w:p>
    <w:p>
      <w:pPr>
        <w:pStyle w:val="3"/>
        <w:spacing w:before="156" w:beforeLines="50" w:after="0" w:line="360" w:lineRule="auto"/>
        <w:ind w:firstLine="480"/>
        <w:rPr>
          <w:rFonts w:hint="eastAsia" w:ascii="Times New Roman" w:hAnsi="Times New Roman" w:eastAsia="宋体"/>
          <w:caps w:val="0"/>
          <w:sz w:val="24"/>
          <w:szCs w:val="24"/>
          <w:lang w:val="en-US" w:eastAsia="zh-CN"/>
        </w:rPr>
      </w:pPr>
      <w:bookmarkStart w:id="84" w:name="_Toc3427"/>
      <w:r>
        <w:rPr>
          <w:rFonts w:hint="eastAsia" w:ascii="Times New Roman" w:hAnsi="Times New Roman" w:eastAsia="宋体"/>
          <w:caps w:val="0"/>
          <w:sz w:val="24"/>
          <w:szCs w:val="24"/>
          <w:lang w:val="en-US" w:eastAsia="zh-CN"/>
        </w:rPr>
        <w:t>二、股权登记托管机构</w:t>
      </w:r>
      <w:bookmarkEnd w:id="84"/>
    </w:p>
    <w:p>
      <w:pPr>
        <w:spacing w:line="360" w:lineRule="auto"/>
        <w:ind w:firstLine="480"/>
        <w:rPr>
          <w:rFonts w:hint="eastAsia" w:ascii="Times New Roman" w:hAnsi="Times New Roman" w:cs="宋体"/>
          <w:caps w:val="0"/>
        </w:rPr>
      </w:pPr>
      <w:r>
        <w:rPr>
          <w:rFonts w:hint="eastAsia" w:ascii="Times New Roman" w:hAnsi="Times New Roman" w:cs="宋体"/>
          <w:caps w:val="0"/>
        </w:rPr>
        <w:t>名    称：齐鲁股权交易中心有限公司</w:t>
      </w:r>
    </w:p>
    <w:p>
      <w:pPr>
        <w:spacing w:line="360" w:lineRule="auto"/>
        <w:ind w:firstLine="480"/>
        <w:rPr>
          <w:rFonts w:hint="eastAsia" w:ascii="Times New Roman" w:hAnsi="Times New Roman" w:cs="宋体"/>
          <w:caps w:val="0"/>
        </w:rPr>
      </w:pPr>
      <w:r>
        <w:rPr>
          <w:rFonts w:hint="eastAsia" w:ascii="Times New Roman" w:hAnsi="Times New Roman" w:cs="宋体"/>
          <w:caps w:val="0"/>
        </w:rPr>
        <w:t>注册地址：淄博市张店区人民路228号</w:t>
      </w:r>
    </w:p>
    <w:p>
      <w:pPr>
        <w:spacing w:line="360" w:lineRule="auto"/>
        <w:ind w:firstLine="480"/>
        <w:rPr>
          <w:rFonts w:hint="eastAsia" w:ascii="Times New Roman" w:hAnsi="Times New Roman" w:cs="宋体"/>
          <w:caps w:val="0"/>
        </w:rPr>
      </w:pPr>
      <w:r>
        <w:rPr>
          <w:rFonts w:hint="eastAsia" w:ascii="Times New Roman" w:hAnsi="Times New Roman" w:cs="宋体"/>
          <w:caps w:val="0"/>
        </w:rPr>
        <w:t>电    话：0533-2778470</w:t>
      </w:r>
    </w:p>
    <w:p>
      <w:pPr>
        <w:spacing w:line="360" w:lineRule="auto"/>
        <w:ind w:firstLine="480"/>
        <w:rPr>
          <w:rFonts w:hint="eastAsia" w:ascii="Times New Roman" w:hAnsi="Times New Roman" w:cs="宋体"/>
          <w:caps w:val="0"/>
        </w:rPr>
      </w:pPr>
      <w:r>
        <w:rPr>
          <w:rFonts w:hint="eastAsia" w:ascii="Times New Roman" w:hAnsi="Times New Roman" w:cs="宋体"/>
          <w:caps w:val="0"/>
        </w:rPr>
        <w:t>传    真：0533-2778470</w:t>
      </w:r>
    </w:p>
    <w:p>
      <w:pPr>
        <w:ind w:firstLine="480"/>
        <w:rPr>
          <w:rFonts w:hint="eastAsia" w:ascii="Times New Roman" w:hAnsi="Times New Roman" w:cs="AdobeHeitiStd-Regular"/>
          <w:b/>
          <w:caps w:val="0"/>
          <w:kern w:val="0"/>
        </w:rPr>
      </w:pPr>
    </w:p>
    <w:p>
      <w:pPr>
        <w:ind w:firstLine="480"/>
        <w:rPr>
          <w:rFonts w:hint="eastAsia" w:ascii="Times New Roman" w:hAnsi="Times New Roman" w:cs="AdobeHeitiStd-Regular"/>
          <w:b/>
          <w:caps w:val="0"/>
          <w:kern w:val="0"/>
        </w:rPr>
      </w:pPr>
    </w:p>
    <w:p>
      <w:pPr>
        <w:ind w:firstLine="480"/>
        <w:rPr>
          <w:rFonts w:hint="eastAsia" w:ascii="Times New Roman" w:hAnsi="Times New Roman" w:cs="AdobeHeitiStd-Regular"/>
          <w:b/>
          <w:caps w:val="0"/>
          <w:kern w:val="0"/>
        </w:rPr>
      </w:pPr>
    </w:p>
    <w:p>
      <w:pPr>
        <w:ind w:firstLine="480"/>
        <w:rPr>
          <w:rFonts w:hint="eastAsia" w:ascii="Times New Roman" w:hAnsi="Times New Roman" w:cs="AdobeHeitiStd-Regular"/>
          <w:b/>
          <w:caps w:val="0"/>
          <w:kern w:val="0"/>
        </w:rPr>
      </w:pPr>
    </w:p>
    <w:p>
      <w:pPr>
        <w:ind w:firstLine="480"/>
        <w:rPr>
          <w:rFonts w:hint="eastAsia" w:ascii="Times New Roman" w:hAnsi="Times New Roman" w:cs="AdobeHeitiStd-Regular"/>
          <w:b/>
          <w:caps w:val="0"/>
          <w:kern w:val="0"/>
        </w:rPr>
      </w:pPr>
    </w:p>
    <w:p>
      <w:pPr>
        <w:ind w:firstLine="480"/>
        <w:rPr>
          <w:rFonts w:hint="eastAsia" w:ascii="Times New Roman" w:hAnsi="Times New Roman" w:cs="AdobeHeitiStd-Regular"/>
          <w:b/>
          <w:caps w:val="0"/>
          <w:kern w:val="0"/>
        </w:rPr>
      </w:pPr>
    </w:p>
    <w:p>
      <w:pPr>
        <w:ind w:firstLine="480"/>
        <w:rPr>
          <w:rFonts w:hint="eastAsia" w:ascii="Times New Roman" w:hAnsi="Times New Roman" w:cs="AdobeHeitiStd-Regular"/>
          <w:b/>
          <w:caps w:val="0"/>
          <w:kern w:val="0"/>
        </w:rPr>
      </w:pPr>
    </w:p>
    <w:p>
      <w:pPr>
        <w:ind w:firstLine="480"/>
        <w:rPr>
          <w:rFonts w:hint="eastAsia" w:ascii="Times New Roman" w:hAnsi="Times New Roman" w:cs="AdobeHeitiStd-Regular"/>
          <w:b/>
          <w:caps w:val="0"/>
          <w:kern w:val="0"/>
        </w:rPr>
      </w:pPr>
    </w:p>
    <w:p>
      <w:pPr>
        <w:ind w:firstLine="480"/>
        <w:rPr>
          <w:rFonts w:hint="eastAsia" w:ascii="Times New Roman" w:hAnsi="Times New Roman" w:cs="AdobeHeitiStd-Regular"/>
          <w:b/>
          <w:caps w:val="0"/>
          <w:kern w:val="0"/>
        </w:rPr>
      </w:pPr>
    </w:p>
    <w:p>
      <w:pPr>
        <w:ind w:firstLine="480"/>
        <w:rPr>
          <w:rFonts w:hint="eastAsia" w:ascii="Times New Roman" w:hAnsi="Times New Roman" w:cs="AdobeHeitiStd-Regular"/>
          <w:b/>
          <w:caps w:val="0"/>
          <w:kern w:val="0"/>
        </w:rPr>
      </w:pPr>
    </w:p>
    <w:p>
      <w:pPr>
        <w:ind w:firstLine="480"/>
        <w:rPr>
          <w:rFonts w:ascii="Times New Roman" w:hAnsi="Times New Roman" w:cs="AdobeHeitiStd-Regular"/>
          <w:b/>
          <w:caps w:val="0"/>
          <w:color w:val="FF0000"/>
          <w:kern w:val="0"/>
        </w:rPr>
      </w:pPr>
      <w:r>
        <w:rPr>
          <w:rFonts w:hint="eastAsia" w:ascii="Times New Roman" w:hAnsi="Times New Roman" w:cs="AdobeHeitiStd-Regular"/>
          <w:b/>
          <w:caps w:val="0"/>
          <w:kern w:val="0"/>
        </w:rPr>
        <w:t>【此页无正文】</w:t>
      </w: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480"/>
        <w:jc w:val="center"/>
        <w:rPr>
          <w:rFonts w:hint="eastAsia" w:ascii="Times New Roman" w:hAnsi="Times New Roman" w:eastAsia="宋体"/>
          <w:caps w:val="0"/>
          <w:lang w:eastAsia="zh-CN"/>
        </w:rPr>
      </w:pPr>
      <w:r>
        <w:rPr>
          <w:rFonts w:ascii="Times New Roman" w:hAnsi="Times New Roman"/>
          <w:caps w:val="0"/>
        </w:rPr>
        <w:t xml:space="preserve">        </w:t>
      </w:r>
      <w:r>
        <w:rPr>
          <w:rFonts w:hint="eastAsia" w:ascii="Times New Roman" w:hAnsi="Times New Roman"/>
          <w:caps w:val="0"/>
        </w:rPr>
        <w:t xml:space="preserve">               挂牌公司：</w:t>
      </w:r>
      <w:r>
        <w:rPr>
          <w:rFonts w:hint="eastAsia"/>
          <w:caps w:val="0"/>
          <w:lang w:eastAsia="zh-CN"/>
        </w:rPr>
        <w:t xml:space="preserve">山东兴恒环境科技集团有限公司     </w:t>
      </w:r>
    </w:p>
    <w:p>
      <w:pPr>
        <w:ind w:firstLine="0" w:firstLineChars="0"/>
        <w:rPr>
          <w:rFonts w:hint="eastAsia" w:ascii="Times New Roman" w:hAnsi="Times New Roman"/>
          <w:caps w:val="0"/>
        </w:rPr>
      </w:pPr>
    </w:p>
    <w:p>
      <w:pPr>
        <w:ind w:firstLine="0" w:firstLineChars="0"/>
        <w:rPr>
          <w:rFonts w:hint="eastAsia"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480"/>
        <w:jc w:val="center"/>
        <w:rPr>
          <w:rFonts w:ascii="Times New Roman" w:hAnsi="Times New Roman"/>
          <w:caps w:val="0"/>
        </w:rPr>
      </w:pPr>
      <w:r>
        <w:rPr>
          <w:rFonts w:ascii="Times New Roman" w:hAnsi="Times New Roman"/>
          <w:caps w:val="0"/>
        </w:rPr>
        <w:t xml:space="preserve">    </w:t>
      </w:r>
      <w:r>
        <w:rPr>
          <w:rFonts w:hint="eastAsia" w:ascii="Times New Roman" w:hAnsi="Times New Roman"/>
          <w:caps w:val="0"/>
        </w:rPr>
        <w:t xml:space="preserve">                  </w:t>
      </w:r>
      <w:r>
        <w:rPr>
          <w:rFonts w:ascii="Times New Roman" w:hAnsi="Times New Roman"/>
          <w:caps w:val="0"/>
        </w:rPr>
        <w:t xml:space="preserve">     </w:t>
      </w:r>
      <w:r>
        <w:rPr>
          <w:rFonts w:hint="eastAsia" w:ascii="Times New Roman" w:hAnsi="Times New Roman"/>
          <w:caps w:val="0"/>
        </w:rPr>
        <w:t>推荐机构：中泰证券股份有限公司</w:t>
      </w: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r>
        <w:rPr>
          <w:rFonts w:ascii="Times New Roman" w:hAnsi="Times New Roman"/>
          <w:caps w:val="0"/>
        </w:rPr>
        <w:t xml:space="preserve">                           </w:t>
      </w:r>
      <w:r>
        <w:rPr>
          <w:rFonts w:hint="eastAsia" w:ascii="Times New Roman" w:hAnsi="Times New Roman"/>
          <w:caps w:val="0"/>
        </w:rPr>
        <w:t xml:space="preserve">              20</w:t>
      </w:r>
      <w:r>
        <w:rPr>
          <w:rFonts w:hint="eastAsia" w:ascii="Times New Roman" w:hAnsi="Times New Roman"/>
          <w:caps w:val="0"/>
          <w:lang w:val="en-US" w:eastAsia="zh-CN"/>
        </w:rPr>
        <w:t>2</w:t>
      </w:r>
      <w:r>
        <w:rPr>
          <w:rFonts w:hint="eastAsia"/>
          <w:caps w:val="0"/>
          <w:lang w:val="en-US" w:eastAsia="zh-CN"/>
        </w:rPr>
        <w:t>2</w:t>
      </w:r>
      <w:r>
        <w:rPr>
          <w:rFonts w:hint="eastAsia" w:ascii="Times New Roman" w:hAnsi="Times New Roman"/>
          <w:caps w:val="0"/>
        </w:rPr>
        <w:t>年</w:t>
      </w:r>
      <w:r>
        <w:rPr>
          <w:rFonts w:hint="eastAsia"/>
          <w:caps w:val="0"/>
          <w:lang w:val="en-US" w:eastAsia="zh-CN"/>
        </w:rPr>
        <w:t>05</w:t>
      </w:r>
      <w:r>
        <w:rPr>
          <w:rFonts w:hint="eastAsia" w:ascii="Times New Roman" w:hAnsi="Times New Roman"/>
          <w:caps w:val="0"/>
        </w:rPr>
        <w:t>月</w:t>
      </w:r>
      <w:r>
        <w:rPr>
          <w:rFonts w:hint="eastAsia"/>
          <w:caps w:val="0"/>
          <w:lang w:val="en-US" w:eastAsia="zh-CN"/>
        </w:rPr>
        <w:t>19</w:t>
      </w:r>
      <w:r>
        <w:rPr>
          <w:rFonts w:hint="eastAsia" w:ascii="Times New Roman" w:hAnsi="Times New Roman"/>
          <w:caps w:val="0"/>
        </w:rPr>
        <w:t>日</w:t>
      </w:r>
    </w:p>
    <w:sectPr>
      <w:footerReference r:id="rId11"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roma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AdobeHeitiStd-Regular">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Chars="111"/>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Chars="111"/>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Chars="111"/>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0" w:firstLineChars="0"/>
      <w:rPr>
        <w:rStyle w:val="31"/>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v:textbox>
            </v:shape>
          </w:pict>
        </mc:Fallback>
      </mc:AlternateContent>
    </w:r>
  </w:p>
  <w:p>
    <w:pPr>
      <w:pStyle w:val="14"/>
      <w:ind w:right="360" w:firstLineChars="111"/>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jc w:val="both"/>
      <w:rPr>
        <w:rFonts w:hint="eastAsia"/>
        <w:color w:val="008000"/>
        <w:sz w:val="21"/>
        <w:szCs w:val="21"/>
      </w:rPr>
    </w:pPr>
    <w:r>
      <w:rPr>
        <w:rFonts w:hint="eastAsia"/>
        <w:color w:val="008000"/>
        <w:sz w:val="21"/>
        <w:szCs w:val="21"/>
        <w:lang w:eastAsia="zh-CN"/>
      </w:rPr>
      <w:t xml:space="preserve">山东兴恒环境科技集团有限公司     </w:t>
    </w:r>
    <w:r>
      <w:rPr>
        <w:rFonts w:hint="eastAsia"/>
        <w:color w:val="008000"/>
        <w:sz w:val="21"/>
        <w:szCs w:val="21"/>
      </w:rPr>
      <w:t xml:space="preserve">                 </w:t>
    </w:r>
    <w:r>
      <w:rPr>
        <w:rFonts w:hint="eastAsia"/>
        <w:color w:val="008000"/>
        <w:sz w:val="21"/>
        <w:szCs w:val="21"/>
        <w:lang w:val="en-US" w:eastAsia="zh-CN"/>
      </w:rPr>
      <w:t xml:space="preserve">  </w:t>
    </w:r>
    <w:r>
      <w:rPr>
        <w:rFonts w:hint="eastAsia"/>
        <w:color w:val="008000"/>
        <w:sz w:val="21"/>
        <w:szCs w:val="21"/>
      </w:rPr>
      <w:t xml:space="preserve">    </w:t>
    </w:r>
    <w:r>
      <w:rPr>
        <w:rFonts w:hint="eastAsia"/>
        <w:color w:val="008000"/>
        <w:sz w:val="21"/>
        <w:szCs w:val="21"/>
        <w:lang w:val="en-US" w:eastAsia="zh-CN"/>
      </w:rPr>
      <w:t xml:space="preserve">  </w:t>
    </w:r>
    <w:r>
      <w:rPr>
        <w:rFonts w:hint="eastAsia"/>
        <w:color w:val="008000"/>
        <w:sz w:val="21"/>
        <w:szCs w:val="21"/>
      </w:rPr>
      <w:t xml:space="preserve">   挂牌转让说明书摘要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6F71E"/>
    <w:multiLevelType w:val="singleLevel"/>
    <w:tmpl w:val="C056F71E"/>
    <w:lvl w:ilvl="0" w:tentative="0">
      <w:start w:val="1"/>
      <w:numFmt w:val="decimal"/>
      <w:suff w:val="nothing"/>
      <w:lvlText w:val="（%1）"/>
      <w:lvlJc w:val="left"/>
    </w:lvl>
  </w:abstractNum>
  <w:abstractNum w:abstractNumId="1">
    <w:nsid w:val="613ACC55"/>
    <w:multiLevelType w:val="singleLevel"/>
    <w:tmpl w:val="613ACC5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F7"/>
    <w:rsid w:val="0000043E"/>
    <w:rsid w:val="00000571"/>
    <w:rsid w:val="000011D4"/>
    <w:rsid w:val="00001234"/>
    <w:rsid w:val="00001753"/>
    <w:rsid w:val="00001A92"/>
    <w:rsid w:val="00001ECB"/>
    <w:rsid w:val="00002352"/>
    <w:rsid w:val="0000339C"/>
    <w:rsid w:val="000044D0"/>
    <w:rsid w:val="000048F0"/>
    <w:rsid w:val="000049E8"/>
    <w:rsid w:val="00005B4C"/>
    <w:rsid w:val="00005FF5"/>
    <w:rsid w:val="00006B54"/>
    <w:rsid w:val="000076D1"/>
    <w:rsid w:val="00007BF1"/>
    <w:rsid w:val="0001020F"/>
    <w:rsid w:val="00011936"/>
    <w:rsid w:val="00011A29"/>
    <w:rsid w:val="000127EB"/>
    <w:rsid w:val="000129E2"/>
    <w:rsid w:val="00012BED"/>
    <w:rsid w:val="00012CDC"/>
    <w:rsid w:val="00012E35"/>
    <w:rsid w:val="00014B36"/>
    <w:rsid w:val="000150EC"/>
    <w:rsid w:val="00015640"/>
    <w:rsid w:val="00015864"/>
    <w:rsid w:val="00015B7A"/>
    <w:rsid w:val="00015F63"/>
    <w:rsid w:val="00016792"/>
    <w:rsid w:val="000167E9"/>
    <w:rsid w:val="0001684F"/>
    <w:rsid w:val="00016C65"/>
    <w:rsid w:val="00016DAF"/>
    <w:rsid w:val="0001768A"/>
    <w:rsid w:val="00020153"/>
    <w:rsid w:val="00021CBF"/>
    <w:rsid w:val="00021D07"/>
    <w:rsid w:val="00021F35"/>
    <w:rsid w:val="000233B2"/>
    <w:rsid w:val="00023D85"/>
    <w:rsid w:val="00024A10"/>
    <w:rsid w:val="00024C5A"/>
    <w:rsid w:val="00024F19"/>
    <w:rsid w:val="00025009"/>
    <w:rsid w:val="0002509F"/>
    <w:rsid w:val="000252E2"/>
    <w:rsid w:val="00025626"/>
    <w:rsid w:val="00026218"/>
    <w:rsid w:val="000272D8"/>
    <w:rsid w:val="00027306"/>
    <w:rsid w:val="000274BD"/>
    <w:rsid w:val="00030245"/>
    <w:rsid w:val="0003077E"/>
    <w:rsid w:val="00030EC9"/>
    <w:rsid w:val="0003153A"/>
    <w:rsid w:val="00031933"/>
    <w:rsid w:val="00031AF3"/>
    <w:rsid w:val="00031CD3"/>
    <w:rsid w:val="00032BDD"/>
    <w:rsid w:val="00034CC9"/>
    <w:rsid w:val="00034CD1"/>
    <w:rsid w:val="00034EDE"/>
    <w:rsid w:val="000352CB"/>
    <w:rsid w:val="0003621A"/>
    <w:rsid w:val="00037978"/>
    <w:rsid w:val="00037DBF"/>
    <w:rsid w:val="00040E0E"/>
    <w:rsid w:val="00041698"/>
    <w:rsid w:val="00042139"/>
    <w:rsid w:val="00042C92"/>
    <w:rsid w:val="00043870"/>
    <w:rsid w:val="000439C1"/>
    <w:rsid w:val="000442F4"/>
    <w:rsid w:val="00044B28"/>
    <w:rsid w:val="000452AB"/>
    <w:rsid w:val="0004570E"/>
    <w:rsid w:val="00047EC3"/>
    <w:rsid w:val="00050A06"/>
    <w:rsid w:val="00051671"/>
    <w:rsid w:val="000521FA"/>
    <w:rsid w:val="00052A2F"/>
    <w:rsid w:val="00053795"/>
    <w:rsid w:val="0005380B"/>
    <w:rsid w:val="000541D4"/>
    <w:rsid w:val="0005663F"/>
    <w:rsid w:val="000568D2"/>
    <w:rsid w:val="00056B63"/>
    <w:rsid w:val="0005764A"/>
    <w:rsid w:val="0006070C"/>
    <w:rsid w:val="00060DD2"/>
    <w:rsid w:val="00061C3C"/>
    <w:rsid w:val="0006240E"/>
    <w:rsid w:val="00062781"/>
    <w:rsid w:val="0006296E"/>
    <w:rsid w:val="00062C4C"/>
    <w:rsid w:val="000636FB"/>
    <w:rsid w:val="00063E69"/>
    <w:rsid w:val="00065158"/>
    <w:rsid w:val="00065164"/>
    <w:rsid w:val="0006698D"/>
    <w:rsid w:val="0006793F"/>
    <w:rsid w:val="000679BB"/>
    <w:rsid w:val="000703B4"/>
    <w:rsid w:val="0007052E"/>
    <w:rsid w:val="00070827"/>
    <w:rsid w:val="00070EED"/>
    <w:rsid w:val="00072341"/>
    <w:rsid w:val="00072715"/>
    <w:rsid w:val="000727F3"/>
    <w:rsid w:val="00072948"/>
    <w:rsid w:val="00072D9E"/>
    <w:rsid w:val="00075A57"/>
    <w:rsid w:val="00075EE7"/>
    <w:rsid w:val="00075F50"/>
    <w:rsid w:val="00076A27"/>
    <w:rsid w:val="0007751A"/>
    <w:rsid w:val="00077C6E"/>
    <w:rsid w:val="0008039A"/>
    <w:rsid w:val="000810CF"/>
    <w:rsid w:val="00081F47"/>
    <w:rsid w:val="00082278"/>
    <w:rsid w:val="0008251B"/>
    <w:rsid w:val="000826A5"/>
    <w:rsid w:val="00084AD4"/>
    <w:rsid w:val="00084B98"/>
    <w:rsid w:val="000904D1"/>
    <w:rsid w:val="00091B93"/>
    <w:rsid w:val="0009280D"/>
    <w:rsid w:val="00096BB1"/>
    <w:rsid w:val="00097381"/>
    <w:rsid w:val="0009749A"/>
    <w:rsid w:val="00097B4F"/>
    <w:rsid w:val="00097F87"/>
    <w:rsid w:val="000A0220"/>
    <w:rsid w:val="000A10D8"/>
    <w:rsid w:val="000A311F"/>
    <w:rsid w:val="000A45C2"/>
    <w:rsid w:val="000A46DA"/>
    <w:rsid w:val="000A472B"/>
    <w:rsid w:val="000A4904"/>
    <w:rsid w:val="000A4BE5"/>
    <w:rsid w:val="000A547E"/>
    <w:rsid w:val="000A55EF"/>
    <w:rsid w:val="000A6787"/>
    <w:rsid w:val="000A6B8D"/>
    <w:rsid w:val="000A6D5A"/>
    <w:rsid w:val="000A749C"/>
    <w:rsid w:val="000A762C"/>
    <w:rsid w:val="000A7AAB"/>
    <w:rsid w:val="000A7C72"/>
    <w:rsid w:val="000B019C"/>
    <w:rsid w:val="000B0DF3"/>
    <w:rsid w:val="000B156F"/>
    <w:rsid w:val="000B19C1"/>
    <w:rsid w:val="000B1DDC"/>
    <w:rsid w:val="000B44C5"/>
    <w:rsid w:val="000B518F"/>
    <w:rsid w:val="000B62AB"/>
    <w:rsid w:val="000B6F9A"/>
    <w:rsid w:val="000B7839"/>
    <w:rsid w:val="000B7CFA"/>
    <w:rsid w:val="000C0BAC"/>
    <w:rsid w:val="000C0F61"/>
    <w:rsid w:val="000C1926"/>
    <w:rsid w:val="000C1EF3"/>
    <w:rsid w:val="000C374A"/>
    <w:rsid w:val="000C3DB2"/>
    <w:rsid w:val="000C442D"/>
    <w:rsid w:val="000C4DB5"/>
    <w:rsid w:val="000C4DE0"/>
    <w:rsid w:val="000C52F2"/>
    <w:rsid w:val="000C563F"/>
    <w:rsid w:val="000C580F"/>
    <w:rsid w:val="000C59E7"/>
    <w:rsid w:val="000C5D7B"/>
    <w:rsid w:val="000C5F90"/>
    <w:rsid w:val="000C618C"/>
    <w:rsid w:val="000C66E0"/>
    <w:rsid w:val="000C6730"/>
    <w:rsid w:val="000C73E9"/>
    <w:rsid w:val="000C7C14"/>
    <w:rsid w:val="000D0F7E"/>
    <w:rsid w:val="000D1770"/>
    <w:rsid w:val="000D1DCC"/>
    <w:rsid w:val="000D1FEB"/>
    <w:rsid w:val="000D2C08"/>
    <w:rsid w:val="000D324D"/>
    <w:rsid w:val="000D3E9E"/>
    <w:rsid w:val="000D6485"/>
    <w:rsid w:val="000D670A"/>
    <w:rsid w:val="000D6A3F"/>
    <w:rsid w:val="000D6CDE"/>
    <w:rsid w:val="000D6FD2"/>
    <w:rsid w:val="000D7777"/>
    <w:rsid w:val="000E2CAB"/>
    <w:rsid w:val="000E3569"/>
    <w:rsid w:val="000E41B3"/>
    <w:rsid w:val="000E5016"/>
    <w:rsid w:val="000E5D8B"/>
    <w:rsid w:val="000E6A02"/>
    <w:rsid w:val="000E7FAA"/>
    <w:rsid w:val="000F110F"/>
    <w:rsid w:val="000F2193"/>
    <w:rsid w:val="000F29F3"/>
    <w:rsid w:val="000F2E28"/>
    <w:rsid w:val="000F34C0"/>
    <w:rsid w:val="000F44DF"/>
    <w:rsid w:val="000F4C2B"/>
    <w:rsid w:val="000F66E6"/>
    <w:rsid w:val="000F6EEF"/>
    <w:rsid w:val="000F70D8"/>
    <w:rsid w:val="000F716F"/>
    <w:rsid w:val="00100152"/>
    <w:rsid w:val="001002F2"/>
    <w:rsid w:val="001023F7"/>
    <w:rsid w:val="00102B02"/>
    <w:rsid w:val="00103343"/>
    <w:rsid w:val="00103DC4"/>
    <w:rsid w:val="001052FB"/>
    <w:rsid w:val="0010612F"/>
    <w:rsid w:val="00107BB1"/>
    <w:rsid w:val="00110ED6"/>
    <w:rsid w:val="001112D8"/>
    <w:rsid w:val="001113B5"/>
    <w:rsid w:val="00111952"/>
    <w:rsid w:val="001126BB"/>
    <w:rsid w:val="00113C5A"/>
    <w:rsid w:val="001147D4"/>
    <w:rsid w:val="0011544E"/>
    <w:rsid w:val="0011585C"/>
    <w:rsid w:val="00115D03"/>
    <w:rsid w:val="00117880"/>
    <w:rsid w:val="0012003F"/>
    <w:rsid w:val="0012011A"/>
    <w:rsid w:val="001207AE"/>
    <w:rsid w:val="00120844"/>
    <w:rsid w:val="00121486"/>
    <w:rsid w:val="00121A72"/>
    <w:rsid w:val="001222C3"/>
    <w:rsid w:val="0012252B"/>
    <w:rsid w:val="001225E5"/>
    <w:rsid w:val="001233F3"/>
    <w:rsid w:val="00123797"/>
    <w:rsid w:val="0012441B"/>
    <w:rsid w:val="00124C59"/>
    <w:rsid w:val="00125CDC"/>
    <w:rsid w:val="00125FBA"/>
    <w:rsid w:val="00126A94"/>
    <w:rsid w:val="0012710B"/>
    <w:rsid w:val="00127C8A"/>
    <w:rsid w:val="00131188"/>
    <w:rsid w:val="001316EE"/>
    <w:rsid w:val="00131982"/>
    <w:rsid w:val="001323AD"/>
    <w:rsid w:val="00132862"/>
    <w:rsid w:val="00132B7D"/>
    <w:rsid w:val="00132CBE"/>
    <w:rsid w:val="001347BE"/>
    <w:rsid w:val="00134B32"/>
    <w:rsid w:val="00134C9C"/>
    <w:rsid w:val="00137340"/>
    <w:rsid w:val="00137825"/>
    <w:rsid w:val="00137A4B"/>
    <w:rsid w:val="00140A53"/>
    <w:rsid w:val="00140A93"/>
    <w:rsid w:val="00141104"/>
    <w:rsid w:val="0014163C"/>
    <w:rsid w:val="00142409"/>
    <w:rsid w:val="001440CD"/>
    <w:rsid w:val="00144192"/>
    <w:rsid w:val="001441CC"/>
    <w:rsid w:val="00144389"/>
    <w:rsid w:val="00144E8C"/>
    <w:rsid w:val="00146758"/>
    <w:rsid w:val="00147040"/>
    <w:rsid w:val="00147269"/>
    <w:rsid w:val="00147800"/>
    <w:rsid w:val="00147BBA"/>
    <w:rsid w:val="00150212"/>
    <w:rsid w:val="00150CD3"/>
    <w:rsid w:val="00150E8E"/>
    <w:rsid w:val="00151125"/>
    <w:rsid w:val="00151C63"/>
    <w:rsid w:val="0015384F"/>
    <w:rsid w:val="00153C6B"/>
    <w:rsid w:val="00153EB0"/>
    <w:rsid w:val="00154C63"/>
    <w:rsid w:val="0015517D"/>
    <w:rsid w:val="001552E7"/>
    <w:rsid w:val="00155614"/>
    <w:rsid w:val="00156147"/>
    <w:rsid w:val="00156190"/>
    <w:rsid w:val="00160FF9"/>
    <w:rsid w:val="001614A1"/>
    <w:rsid w:val="001614C5"/>
    <w:rsid w:val="00161A9A"/>
    <w:rsid w:val="00161D7D"/>
    <w:rsid w:val="00161E42"/>
    <w:rsid w:val="00162E6A"/>
    <w:rsid w:val="00163463"/>
    <w:rsid w:val="0016589B"/>
    <w:rsid w:val="00166082"/>
    <w:rsid w:val="0016631E"/>
    <w:rsid w:val="001670FC"/>
    <w:rsid w:val="0016738C"/>
    <w:rsid w:val="00167497"/>
    <w:rsid w:val="00167586"/>
    <w:rsid w:val="00167F19"/>
    <w:rsid w:val="001707C7"/>
    <w:rsid w:val="00171347"/>
    <w:rsid w:val="00173689"/>
    <w:rsid w:val="00174251"/>
    <w:rsid w:val="001751AA"/>
    <w:rsid w:val="001760F6"/>
    <w:rsid w:val="0017615F"/>
    <w:rsid w:val="00176AC1"/>
    <w:rsid w:val="0017757F"/>
    <w:rsid w:val="00180388"/>
    <w:rsid w:val="001816B6"/>
    <w:rsid w:val="0018519E"/>
    <w:rsid w:val="001863AB"/>
    <w:rsid w:val="00186FE4"/>
    <w:rsid w:val="0018759E"/>
    <w:rsid w:val="00187C41"/>
    <w:rsid w:val="001900F9"/>
    <w:rsid w:val="001903F2"/>
    <w:rsid w:val="00192D48"/>
    <w:rsid w:val="001934AC"/>
    <w:rsid w:val="00193CFE"/>
    <w:rsid w:val="00194130"/>
    <w:rsid w:val="00194373"/>
    <w:rsid w:val="001943E6"/>
    <w:rsid w:val="001949FE"/>
    <w:rsid w:val="00194AAE"/>
    <w:rsid w:val="0019600E"/>
    <w:rsid w:val="001963EA"/>
    <w:rsid w:val="00196403"/>
    <w:rsid w:val="00196A13"/>
    <w:rsid w:val="00196D52"/>
    <w:rsid w:val="001A0692"/>
    <w:rsid w:val="001A0C5B"/>
    <w:rsid w:val="001A101D"/>
    <w:rsid w:val="001A1930"/>
    <w:rsid w:val="001A1B12"/>
    <w:rsid w:val="001A1FCF"/>
    <w:rsid w:val="001A23AA"/>
    <w:rsid w:val="001A2699"/>
    <w:rsid w:val="001A294C"/>
    <w:rsid w:val="001A2AE0"/>
    <w:rsid w:val="001A2F27"/>
    <w:rsid w:val="001A356F"/>
    <w:rsid w:val="001A3D2E"/>
    <w:rsid w:val="001A3F56"/>
    <w:rsid w:val="001A485D"/>
    <w:rsid w:val="001A4D20"/>
    <w:rsid w:val="001A6430"/>
    <w:rsid w:val="001A7B1E"/>
    <w:rsid w:val="001B02E0"/>
    <w:rsid w:val="001B07AA"/>
    <w:rsid w:val="001B0F48"/>
    <w:rsid w:val="001B2325"/>
    <w:rsid w:val="001B2530"/>
    <w:rsid w:val="001B2A36"/>
    <w:rsid w:val="001B338C"/>
    <w:rsid w:val="001B44D8"/>
    <w:rsid w:val="001B56DB"/>
    <w:rsid w:val="001B61B8"/>
    <w:rsid w:val="001B76C3"/>
    <w:rsid w:val="001C0D62"/>
    <w:rsid w:val="001C3318"/>
    <w:rsid w:val="001C34D7"/>
    <w:rsid w:val="001C4960"/>
    <w:rsid w:val="001C5AC6"/>
    <w:rsid w:val="001C5CD0"/>
    <w:rsid w:val="001C70FD"/>
    <w:rsid w:val="001D32EE"/>
    <w:rsid w:val="001D44FB"/>
    <w:rsid w:val="001D46A9"/>
    <w:rsid w:val="001D580F"/>
    <w:rsid w:val="001D7749"/>
    <w:rsid w:val="001E0FCA"/>
    <w:rsid w:val="001E1985"/>
    <w:rsid w:val="001E2156"/>
    <w:rsid w:val="001E2617"/>
    <w:rsid w:val="001E2C56"/>
    <w:rsid w:val="001E3113"/>
    <w:rsid w:val="001E38A0"/>
    <w:rsid w:val="001E5F95"/>
    <w:rsid w:val="001F0845"/>
    <w:rsid w:val="001F0F93"/>
    <w:rsid w:val="001F160F"/>
    <w:rsid w:val="001F2952"/>
    <w:rsid w:val="001F2E7F"/>
    <w:rsid w:val="001F37B5"/>
    <w:rsid w:val="001F392A"/>
    <w:rsid w:val="001F3B81"/>
    <w:rsid w:val="001F3D47"/>
    <w:rsid w:val="001F51C1"/>
    <w:rsid w:val="001F583E"/>
    <w:rsid w:val="001F5A1E"/>
    <w:rsid w:val="001F5E6D"/>
    <w:rsid w:val="001F682E"/>
    <w:rsid w:val="001F6A7F"/>
    <w:rsid w:val="001F7059"/>
    <w:rsid w:val="001F716D"/>
    <w:rsid w:val="00200C1E"/>
    <w:rsid w:val="00201951"/>
    <w:rsid w:val="00201E71"/>
    <w:rsid w:val="002036FA"/>
    <w:rsid w:val="0020405F"/>
    <w:rsid w:val="00204D69"/>
    <w:rsid w:val="00205975"/>
    <w:rsid w:val="00205A6C"/>
    <w:rsid w:val="00205B28"/>
    <w:rsid w:val="00205D4D"/>
    <w:rsid w:val="002060CF"/>
    <w:rsid w:val="0020668C"/>
    <w:rsid w:val="00206C98"/>
    <w:rsid w:val="0020735A"/>
    <w:rsid w:val="002073B1"/>
    <w:rsid w:val="002133E7"/>
    <w:rsid w:val="0021345A"/>
    <w:rsid w:val="00215047"/>
    <w:rsid w:val="002150DD"/>
    <w:rsid w:val="002155B0"/>
    <w:rsid w:val="002161BF"/>
    <w:rsid w:val="0021624D"/>
    <w:rsid w:val="00216803"/>
    <w:rsid w:val="00216E92"/>
    <w:rsid w:val="0021720C"/>
    <w:rsid w:val="00217366"/>
    <w:rsid w:val="002175E9"/>
    <w:rsid w:val="00220212"/>
    <w:rsid w:val="00220A78"/>
    <w:rsid w:val="00221E8D"/>
    <w:rsid w:val="002225E1"/>
    <w:rsid w:val="00222A6B"/>
    <w:rsid w:val="00222E64"/>
    <w:rsid w:val="00225029"/>
    <w:rsid w:val="00225F41"/>
    <w:rsid w:val="00226047"/>
    <w:rsid w:val="002268E5"/>
    <w:rsid w:val="002272E2"/>
    <w:rsid w:val="00227397"/>
    <w:rsid w:val="002305DC"/>
    <w:rsid w:val="0023091C"/>
    <w:rsid w:val="002319D2"/>
    <w:rsid w:val="00232367"/>
    <w:rsid w:val="00232C16"/>
    <w:rsid w:val="00232DD8"/>
    <w:rsid w:val="00232EEA"/>
    <w:rsid w:val="00233477"/>
    <w:rsid w:val="00233698"/>
    <w:rsid w:val="0023381C"/>
    <w:rsid w:val="00234277"/>
    <w:rsid w:val="0023477D"/>
    <w:rsid w:val="0023511E"/>
    <w:rsid w:val="0023529D"/>
    <w:rsid w:val="00235744"/>
    <w:rsid w:val="002359E9"/>
    <w:rsid w:val="00237927"/>
    <w:rsid w:val="00240580"/>
    <w:rsid w:val="00240E50"/>
    <w:rsid w:val="00241342"/>
    <w:rsid w:val="00241677"/>
    <w:rsid w:val="002435DD"/>
    <w:rsid w:val="0024383E"/>
    <w:rsid w:val="002441BB"/>
    <w:rsid w:val="00244A42"/>
    <w:rsid w:val="0024534B"/>
    <w:rsid w:val="00245CC5"/>
    <w:rsid w:val="00246166"/>
    <w:rsid w:val="002468EE"/>
    <w:rsid w:val="00246C2F"/>
    <w:rsid w:val="00247060"/>
    <w:rsid w:val="0024756B"/>
    <w:rsid w:val="002504B9"/>
    <w:rsid w:val="00251201"/>
    <w:rsid w:val="002533FA"/>
    <w:rsid w:val="00253707"/>
    <w:rsid w:val="00253B12"/>
    <w:rsid w:val="002542CD"/>
    <w:rsid w:val="00254F5F"/>
    <w:rsid w:val="00255845"/>
    <w:rsid w:val="00256560"/>
    <w:rsid w:val="002609A7"/>
    <w:rsid w:val="002610AD"/>
    <w:rsid w:val="00261375"/>
    <w:rsid w:val="0026256B"/>
    <w:rsid w:val="00262B1F"/>
    <w:rsid w:val="00263D02"/>
    <w:rsid w:val="00264B71"/>
    <w:rsid w:val="00265D13"/>
    <w:rsid w:val="002668AB"/>
    <w:rsid w:val="00266E67"/>
    <w:rsid w:val="002670BC"/>
    <w:rsid w:val="002673EF"/>
    <w:rsid w:val="00267CF6"/>
    <w:rsid w:val="002703A6"/>
    <w:rsid w:val="00270B91"/>
    <w:rsid w:val="00270C3C"/>
    <w:rsid w:val="002717B8"/>
    <w:rsid w:val="002718D9"/>
    <w:rsid w:val="0027193C"/>
    <w:rsid w:val="00271A0F"/>
    <w:rsid w:val="0027310C"/>
    <w:rsid w:val="00273CDC"/>
    <w:rsid w:val="00275AA8"/>
    <w:rsid w:val="00276A33"/>
    <w:rsid w:val="0028054B"/>
    <w:rsid w:val="00282546"/>
    <w:rsid w:val="00282626"/>
    <w:rsid w:val="0028299D"/>
    <w:rsid w:val="00282A8D"/>
    <w:rsid w:val="00283728"/>
    <w:rsid w:val="00283E04"/>
    <w:rsid w:val="00284993"/>
    <w:rsid w:val="00284F35"/>
    <w:rsid w:val="002860AC"/>
    <w:rsid w:val="002863CB"/>
    <w:rsid w:val="002864D6"/>
    <w:rsid w:val="00286BEE"/>
    <w:rsid w:val="00287347"/>
    <w:rsid w:val="002902D5"/>
    <w:rsid w:val="002907F7"/>
    <w:rsid w:val="00290D02"/>
    <w:rsid w:val="00291F21"/>
    <w:rsid w:val="00293113"/>
    <w:rsid w:val="0029410A"/>
    <w:rsid w:val="002947B3"/>
    <w:rsid w:val="002961BF"/>
    <w:rsid w:val="00296E87"/>
    <w:rsid w:val="002978A0"/>
    <w:rsid w:val="002978C5"/>
    <w:rsid w:val="002A095C"/>
    <w:rsid w:val="002A21A7"/>
    <w:rsid w:val="002A27E4"/>
    <w:rsid w:val="002A3BA7"/>
    <w:rsid w:val="002A4270"/>
    <w:rsid w:val="002A578E"/>
    <w:rsid w:val="002A5900"/>
    <w:rsid w:val="002A5A13"/>
    <w:rsid w:val="002A5CA7"/>
    <w:rsid w:val="002A67C1"/>
    <w:rsid w:val="002A6800"/>
    <w:rsid w:val="002B18E2"/>
    <w:rsid w:val="002B1F36"/>
    <w:rsid w:val="002B2670"/>
    <w:rsid w:val="002B2710"/>
    <w:rsid w:val="002B2B1B"/>
    <w:rsid w:val="002B3229"/>
    <w:rsid w:val="002B3907"/>
    <w:rsid w:val="002B3C5A"/>
    <w:rsid w:val="002B491A"/>
    <w:rsid w:val="002B4DCA"/>
    <w:rsid w:val="002B63C2"/>
    <w:rsid w:val="002B7096"/>
    <w:rsid w:val="002B7808"/>
    <w:rsid w:val="002C073D"/>
    <w:rsid w:val="002C0B46"/>
    <w:rsid w:val="002C242A"/>
    <w:rsid w:val="002C250E"/>
    <w:rsid w:val="002C336F"/>
    <w:rsid w:val="002C3490"/>
    <w:rsid w:val="002C3C77"/>
    <w:rsid w:val="002C3DC1"/>
    <w:rsid w:val="002C44DE"/>
    <w:rsid w:val="002C516F"/>
    <w:rsid w:val="002C56AC"/>
    <w:rsid w:val="002C5F15"/>
    <w:rsid w:val="002C70E0"/>
    <w:rsid w:val="002C731F"/>
    <w:rsid w:val="002C73D1"/>
    <w:rsid w:val="002C7404"/>
    <w:rsid w:val="002C7C90"/>
    <w:rsid w:val="002D07D5"/>
    <w:rsid w:val="002D14B0"/>
    <w:rsid w:val="002D1A47"/>
    <w:rsid w:val="002D2100"/>
    <w:rsid w:val="002D266B"/>
    <w:rsid w:val="002D2C30"/>
    <w:rsid w:val="002D34C4"/>
    <w:rsid w:val="002D37FF"/>
    <w:rsid w:val="002D44D2"/>
    <w:rsid w:val="002D4676"/>
    <w:rsid w:val="002D55C7"/>
    <w:rsid w:val="002D5B34"/>
    <w:rsid w:val="002D6194"/>
    <w:rsid w:val="002D6CCE"/>
    <w:rsid w:val="002D7E7A"/>
    <w:rsid w:val="002E07E9"/>
    <w:rsid w:val="002E0A91"/>
    <w:rsid w:val="002E1321"/>
    <w:rsid w:val="002E1A66"/>
    <w:rsid w:val="002E1D2D"/>
    <w:rsid w:val="002E2817"/>
    <w:rsid w:val="002E2A63"/>
    <w:rsid w:val="002E2D40"/>
    <w:rsid w:val="002E3FAF"/>
    <w:rsid w:val="002E4115"/>
    <w:rsid w:val="002E5B21"/>
    <w:rsid w:val="002E6838"/>
    <w:rsid w:val="002E73C2"/>
    <w:rsid w:val="002E74A9"/>
    <w:rsid w:val="002F012D"/>
    <w:rsid w:val="002F0708"/>
    <w:rsid w:val="002F21B7"/>
    <w:rsid w:val="002F23F7"/>
    <w:rsid w:val="002F2E11"/>
    <w:rsid w:val="002F36FA"/>
    <w:rsid w:val="002F3F28"/>
    <w:rsid w:val="002F4B3B"/>
    <w:rsid w:val="002F7E3E"/>
    <w:rsid w:val="00303E99"/>
    <w:rsid w:val="003044B5"/>
    <w:rsid w:val="00304881"/>
    <w:rsid w:val="00304BBE"/>
    <w:rsid w:val="0030664E"/>
    <w:rsid w:val="00306DE5"/>
    <w:rsid w:val="00307927"/>
    <w:rsid w:val="0030794D"/>
    <w:rsid w:val="00307B0C"/>
    <w:rsid w:val="00307BE1"/>
    <w:rsid w:val="003107BE"/>
    <w:rsid w:val="00310A06"/>
    <w:rsid w:val="00310A2A"/>
    <w:rsid w:val="00310B16"/>
    <w:rsid w:val="003115F0"/>
    <w:rsid w:val="00312073"/>
    <w:rsid w:val="0031352C"/>
    <w:rsid w:val="00313B1B"/>
    <w:rsid w:val="003140E4"/>
    <w:rsid w:val="00314A63"/>
    <w:rsid w:val="00316AC0"/>
    <w:rsid w:val="0031742F"/>
    <w:rsid w:val="00317989"/>
    <w:rsid w:val="003207A9"/>
    <w:rsid w:val="003207FD"/>
    <w:rsid w:val="00320A18"/>
    <w:rsid w:val="003211AA"/>
    <w:rsid w:val="00321559"/>
    <w:rsid w:val="003216D7"/>
    <w:rsid w:val="00321950"/>
    <w:rsid w:val="00322148"/>
    <w:rsid w:val="003223E6"/>
    <w:rsid w:val="003236D7"/>
    <w:rsid w:val="0032485B"/>
    <w:rsid w:val="0032496B"/>
    <w:rsid w:val="0032499D"/>
    <w:rsid w:val="00324A1D"/>
    <w:rsid w:val="00324E02"/>
    <w:rsid w:val="00324E78"/>
    <w:rsid w:val="003250AB"/>
    <w:rsid w:val="003258D9"/>
    <w:rsid w:val="00327BF7"/>
    <w:rsid w:val="00330C61"/>
    <w:rsid w:val="003322FD"/>
    <w:rsid w:val="00332954"/>
    <w:rsid w:val="00332AD8"/>
    <w:rsid w:val="00333429"/>
    <w:rsid w:val="003334FE"/>
    <w:rsid w:val="003336BD"/>
    <w:rsid w:val="00333EB4"/>
    <w:rsid w:val="003342B7"/>
    <w:rsid w:val="003349F7"/>
    <w:rsid w:val="00337035"/>
    <w:rsid w:val="003374B3"/>
    <w:rsid w:val="00337BB1"/>
    <w:rsid w:val="003400C4"/>
    <w:rsid w:val="00341553"/>
    <w:rsid w:val="0034190E"/>
    <w:rsid w:val="00341E17"/>
    <w:rsid w:val="0034223D"/>
    <w:rsid w:val="0034250F"/>
    <w:rsid w:val="003434AC"/>
    <w:rsid w:val="00344D35"/>
    <w:rsid w:val="00345188"/>
    <w:rsid w:val="00345246"/>
    <w:rsid w:val="003453FF"/>
    <w:rsid w:val="0034659E"/>
    <w:rsid w:val="00347039"/>
    <w:rsid w:val="0034722B"/>
    <w:rsid w:val="00347D7F"/>
    <w:rsid w:val="00347E39"/>
    <w:rsid w:val="00350144"/>
    <w:rsid w:val="0035041D"/>
    <w:rsid w:val="00350DA1"/>
    <w:rsid w:val="0035304A"/>
    <w:rsid w:val="00353128"/>
    <w:rsid w:val="00353D57"/>
    <w:rsid w:val="0035527D"/>
    <w:rsid w:val="00355BC7"/>
    <w:rsid w:val="0035731C"/>
    <w:rsid w:val="0035773E"/>
    <w:rsid w:val="00357C1A"/>
    <w:rsid w:val="00360756"/>
    <w:rsid w:val="00360878"/>
    <w:rsid w:val="00360E93"/>
    <w:rsid w:val="00360F4E"/>
    <w:rsid w:val="0036132C"/>
    <w:rsid w:val="00361660"/>
    <w:rsid w:val="00362124"/>
    <w:rsid w:val="00363AD9"/>
    <w:rsid w:val="003641C1"/>
    <w:rsid w:val="0036463C"/>
    <w:rsid w:val="00364DDF"/>
    <w:rsid w:val="00365083"/>
    <w:rsid w:val="0036572C"/>
    <w:rsid w:val="00365951"/>
    <w:rsid w:val="003661BD"/>
    <w:rsid w:val="00366CB0"/>
    <w:rsid w:val="00366EEB"/>
    <w:rsid w:val="00370C74"/>
    <w:rsid w:val="00370D22"/>
    <w:rsid w:val="00370F64"/>
    <w:rsid w:val="00371115"/>
    <w:rsid w:val="00371AB6"/>
    <w:rsid w:val="00371C8E"/>
    <w:rsid w:val="00372CB7"/>
    <w:rsid w:val="00372E37"/>
    <w:rsid w:val="00374E69"/>
    <w:rsid w:val="00374E73"/>
    <w:rsid w:val="00376E66"/>
    <w:rsid w:val="00377B09"/>
    <w:rsid w:val="00380762"/>
    <w:rsid w:val="00380FAA"/>
    <w:rsid w:val="0038104B"/>
    <w:rsid w:val="00381A4F"/>
    <w:rsid w:val="003826DB"/>
    <w:rsid w:val="00382940"/>
    <w:rsid w:val="003839D7"/>
    <w:rsid w:val="00383F23"/>
    <w:rsid w:val="00384434"/>
    <w:rsid w:val="00384A8E"/>
    <w:rsid w:val="00384B5D"/>
    <w:rsid w:val="00386A20"/>
    <w:rsid w:val="00387309"/>
    <w:rsid w:val="00387B27"/>
    <w:rsid w:val="00387B3B"/>
    <w:rsid w:val="003901EE"/>
    <w:rsid w:val="003902C9"/>
    <w:rsid w:val="00391194"/>
    <w:rsid w:val="00394022"/>
    <w:rsid w:val="00394196"/>
    <w:rsid w:val="003942F7"/>
    <w:rsid w:val="00394A5A"/>
    <w:rsid w:val="00394E35"/>
    <w:rsid w:val="0039605D"/>
    <w:rsid w:val="00396738"/>
    <w:rsid w:val="003969B6"/>
    <w:rsid w:val="00396ECA"/>
    <w:rsid w:val="00397821"/>
    <w:rsid w:val="003A09BD"/>
    <w:rsid w:val="003A159C"/>
    <w:rsid w:val="003A1C2A"/>
    <w:rsid w:val="003A371E"/>
    <w:rsid w:val="003A3D83"/>
    <w:rsid w:val="003A4253"/>
    <w:rsid w:val="003A42BC"/>
    <w:rsid w:val="003A44D0"/>
    <w:rsid w:val="003A4C8C"/>
    <w:rsid w:val="003A5156"/>
    <w:rsid w:val="003A5C2D"/>
    <w:rsid w:val="003A7031"/>
    <w:rsid w:val="003A7B95"/>
    <w:rsid w:val="003A7FA9"/>
    <w:rsid w:val="003B46BF"/>
    <w:rsid w:val="003B5321"/>
    <w:rsid w:val="003B5BEE"/>
    <w:rsid w:val="003B743D"/>
    <w:rsid w:val="003B7704"/>
    <w:rsid w:val="003B7F51"/>
    <w:rsid w:val="003C0135"/>
    <w:rsid w:val="003C0822"/>
    <w:rsid w:val="003C0A4D"/>
    <w:rsid w:val="003C0C8A"/>
    <w:rsid w:val="003C13CE"/>
    <w:rsid w:val="003C213F"/>
    <w:rsid w:val="003C2454"/>
    <w:rsid w:val="003C28D8"/>
    <w:rsid w:val="003C316C"/>
    <w:rsid w:val="003C3969"/>
    <w:rsid w:val="003C3A06"/>
    <w:rsid w:val="003C3F40"/>
    <w:rsid w:val="003C4C38"/>
    <w:rsid w:val="003C4C91"/>
    <w:rsid w:val="003C51F5"/>
    <w:rsid w:val="003C56FB"/>
    <w:rsid w:val="003C5F1F"/>
    <w:rsid w:val="003C66AA"/>
    <w:rsid w:val="003C6DB0"/>
    <w:rsid w:val="003C6E46"/>
    <w:rsid w:val="003C7F4A"/>
    <w:rsid w:val="003D04BB"/>
    <w:rsid w:val="003D083E"/>
    <w:rsid w:val="003D0966"/>
    <w:rsid w:val="003D0E56"/>
    <w:rsid w:val="003D1206"/>
    <w:rsid w:val="003D17E0"/>
    <w:rsid w:val="003D2A14"/>
    <w:rsid w:val="003D38F3"/>
    <w:rsid w:val="003D3D57"/>
    <w:rsid w:val="003D4A97"/>
    <w:rsid w:val="003D6AE0"/>
    <w:rsid w:val="003D70E5"/>
    <w:rsid w:val="003D7229"/>
    <w:rsid w:val="003D7937"/>
    <w:rsid w:val="003E015A"/>
    <w:rsid w:val="003E0178"/>
    <w:rsid w:val="003E0206"/>
    <w:rsid w:val="003E1ACC"/>
    <w:rsid w:val="003E1B08"/>
    <w:rsid w:val="003E1B1A"/>
    <w:rsid w:val="003E1C3B"/>
    <w:rsid w:val="003E2336"/>
    <w:rsid w:val="003E273B"/>
    <w:rsid w:val="003E28C3"/>
    <w:rsid w:val="003E2B84"/>
    <w:rsid w:val="003E3D25"/>
    <w:rsid w:val="003E51F2"/>
    <w:rsid w:val="003E52BA"/>
    <w:rsid w:val="003E5617"/>
    <w:rsid w:val="003E6A50"/>
    <w:rsid w:val="003E7DA1"/>
    <w:rsid w:val="003F1EE9"/>
    <w:rsid w:val="003F3047"/>
    <w:rsid w:val="003F3CE6"/>
    <w:rsid w:val="003F571C"/>
    <w:rsid w:val="00400878"/>
    <w:rsid w:val="00400F42"/>
    <w:rsid w:val="00401118"/>
    <w:rsid w:val="00401763"/>
    <w:rsid w:val="004018F8"/>
    <w:rsid w:val="00402739"/>
    <w:rsid w:val="004040CD"/>
    <w:rsid w:val="004044D5"/>
    <w:rsid w:val="004044F3"/>
    <w:rsid w:val="00404C43"/>
    <w:rsid w:val="00404F99"/>
    <w:rsid w:val="004050CD"/>
    <w:rsid w:val="0040516A"/>
    <w:rsid w:val="00406191"/>
    <w:rsid w:val="0040706B"/>
    <w:rsid w:val="004077AB"/>
    <w:rsid w:val="004100F6"/>
    <w:rsid w:val="0041026B"/>
    <w:rsid w:val="00411373"/>
    <w:rsid w:val="00411431"/>
    <w:rsid w:val="00411EA5"/>
    <w:rsid w:val="00412726"/>
    <w:rsid w:val="004132F9"/>
    <w:rsid w:val="004135DD"/>
    <w:rsid w:val="0041368E"/>
    <w:rsid w:val="004138EE"/>
    <w:rsid w:val="00414228"/>
    <w:rsid w:val="0041541E"/>
    <w:rsid w:val="004167F1"/>
    <w:rsid w:val="00417052"/>
    <w:rsid w:val="004177BF"/>
    <w:rsid w:val="00417C3F"/>
    <w:rsid w:val="00420458"/>
    <w:rsid w:val="004212B4"/>
    <w:rsid w:val="00424410"/>
    <w:rsid w:val="0042522D"/>
    <w:rsid w:val="00425585"/>
    <w:rsid w:val="00426129"/>
    <w:rsid w:val="004267F2"/>
    <w:rsid w:val="00426AB7"/>
    <w:rsid w:val="00426C33"/>
    <w:rsid w:val="004270EF"/>
    <w:rsid w:val="004277D8"/>
    <w:rsid w:val="0043037F"/>
    <w:rsid w:val="004309A3"/>
    <w:rsid w:val="00430B31"/>
    <w:rsid w:val="004313D3"/>
    <w:rsid w:val="0043142B"/>
    <w:rsid w:val="004315DE"/>
    <w:rsid w:val="00431B4D"/>
    <w:rsid w:val="0043208E"/>
    <w:rsid w:val="00433456"/>
    <w:rsid w:val="0043389E"/>
    <w:rsid w:val="00433EE6"/>
    <w:rsid w:val="004341A6"/>
    <w:rsid w:val="00435107"/>
    <w:rsid w:val="0043590A"/>
    <w:rsid w:val="00435966"/>
    <w:rsid w:val="00435FB6"/>
    <w:rsid w:val="004361E3"/>
    <w:rsid w:val="00436B7E"/>
    <w:rsid w:val="00437012"/>
    <w:rsid w:val="00440094"/>
    <w:rsid w:val="00442EB4"/>
    <w:rsid w:val="00444C5E"/>
    <w:rsid w:val="00445051"/>
    <w:rsid w:val="00445BE7"/>
    <w:rsid w:val="00445D5C"/>
    <w:rsid w:val="00446979"/>
    <w:rsid w:val="00446B00"/>
    <w:rsid w:val="004518C7"/>
    <w:rsid w:val="00454585"/>
    <w:rsid w:val="0045491E"/>
    <w:rsid w:val="004557BE"/>
    <w:rsid w:val="00456C68"/>
    <w:rsid w:val="004605FE"/>
    <w:rsid w:val="004615C7"/>
    <w:rsid w:val="004625F1"/>
    <w:rsid w:val="00463CC3"/>
    <w:rsid w:val="00463E39"/>
    <w:rsid w:val="004645D8"/>
    <w:rsid w:val="004653B8"/>
    <w:rsid w:val="00465885"/>
    <w:rsid w:val="004671B9"/>
    <w:rsid w:val="004703A6"/>
    <w:rsid w:val="00470571"/>
    <w:rsid w:val="004706D7"/>
    <w:rsid w:val="00470ABF"/>
    <w:rsid w:val="004718EF"/>
    <w:rsid w:val="00471C68"/>
    <w:rsid w:val="00472CBD"/>
    <w:rsid w:val="0047375A"/>
    <w:rsid w:val="00473A3E"/>
    <w:rsid w:val="00475311"/>
    <w:rsid w:val="00475432"/>
    <w:rsid w:val="00475EEB"/>
    <w:rsid w:val="004770C2"/>
    <w:rsid w:val="00477F86"/>
    <w:rsid w:val="00481FC6"/>
    <w:rsid w:val="004829EC"/>
    <w:rsid w:val="00482A55"/>
    <w:rsid w:val="00482CAE"/>
    <w:rsid w:val="00483D5D"/>
    <w:rsid w:val="004841A5"/>
    <w:rsid w:val="0048446A"/>
    <w:rsid w:val="0048455A"/>
    <w:rsid w:val="0048468B"/>
    <w:rsid w:val="00484A09"/>
    <w:rsid w:val="00485074"/>
    <w:rsid w:val="004859C3"/>
    <w:rsid w:val="00485BA0"/>
    <w:rsid w:val="004869BF"/>
    <w:rsid w:val="004879C0"/>
    <w:rsid w:val="00492326"/>
    <w:rsid w:val="00492A72"/>
    <w:rsid w:val="00493143"/>
    <w:rsid w:val="0049394D"/>
    <w:rsid w:val="0049446F"/>
    <w:rsid w:val="00495EC6"/>
    <w:rsid w:val="00495F16"/>
    <w:rsid w:val="004A0634"/>
    <w:rsid w:val="004A0A95"/>
    <w:rsid w:val="004A0B9A"/>
    <w:rsid w:val="004A384C"/>
    <w:rsid w:val="004A39B7"/>
    <w:rsid w:val="004A3DF6"/>
    <w:rsid w:val="004A4573"/>
    <w:rsid w:val="004A46E3"/>
    <w:rsid w:val="004A64CF"/>
    <w:rsid w:val="004A6F17"/>
    <w:rsid w:val="004B14C6"/>
    <w:rsid w:val="004B197F"/>
    <w:rsid w:val="004B4222"/>
    <w:rsid w:val="004B4B79"/>
    <w:rsid w:val="004B4ECC"/>
    <w:rsid w:val="004B68A1"/>
    <w:rsid w:val="004B6A77"/>
    <w:rsid w:val="004B6EFC"/>
    <w:rsid w:val="004B7A3A"/>
    <w:rsid w:val="004B7BAE"/>
    <w:rsid w:val="004C0B81"/>
    <w:rsid w:val="004C0E6B"/>
    <w:rsid w:val="004C11F9"/>
    <w:rsid w:val="004C201E"/>
    <w:rsid w:val="004C3972"/>
    <w:rsid w:val="004C45DA"/>
    <w:rsid w:val="004C4D5D"/>
    <w:rsid w:val="004C5A78"/>
    <w:rsid w:val="004C6C5B"/>
    <w:rsid w:val="004C7969"/>
    <w:rsid w:val="004C7E50"/>
    <w:rsid w:val="004D027D"/>
    <w:rsid w:val="004D1E8B"/>
    <w:rsid w:val="004D2287"/>
    <w:rsid w:val="004D2692"/>
    <w:rsid w:val="004D29AF"/>
    <w:rsid w:val="004D34E7"/>
    <w:rsid w:val="004D40E1"/>
    <w:rsid w:val="004E0B06"/>
    <w:rsid w:val="004E1583"/>
    <w:rsid w:val="004E1BE1"/>
    <w:rsid w:val="004E310D"/>
    <w:rsid w:val="004E3A66"/>
    <w:rsid w:val="004E3DEE"/>
    <w:rsid w:val="004E3E9B"/>
    <w:rsid w:val="004E48AD"/>
    <w:rsid w:val="004E5513"/>
    <w:rsid w:val="004E5643"/>
    <w:rsid w:val="004E574E"/>
    <w:rsid w:val="004E5F28"/>
    <w:rsid w:val="004E5FC3"/>
    <w:rsid w:val="004E6558"/>
    <w:rsid w:val="004E6802"/>
    <w:rsid w:val="004E695E"/>
    <w:rsid w:val="004E7453"/>
    <w:rsid w:val="004E79BB"/>
    <w:rsid w:val="004F09C5"/>
    <w:rsid w:val="004F0F6A"/>
    <w:rsid w:val="004F1523"/>
    <w:rsid w:val="004F1665"/>
    <w:rsid w:val="004F16E1"/>
    <w:rsid w:val="004F19A7"/>
    <w:rsid w:val="004F2880"/>
    <w:rsid w:val="004F34DA"/>
    <w:rsid w:val="004F3EBE"/>
    <w:rsid w:val="004F5BA8"/>
    <w:rsid w:val="004F63DC"/>
    <w:rsid w:val="004F6B19"/>
    <w:rsid w:val="004F7214"/>
    <w:rsid w:val="004F7B0E"/>
    <w:rsid w:val="0050028A"/>
    <w:rsid w:val="00500CCC"/>
    <w:rsid w:val="00501382"/>
    <w:rsid w:val="00502B7D"/>
    <w:rsid w:val="00503A8A"/>
    <w:rsid w:val="00505143"/>
    <w:rsid w:val="00506358"/>
    <w:rsid w:val="005064F5"/>
    <w:rsid w:val="0050688E"/>
    <w:rsid w:val="0050713F"/>
    <w:rsid w:val="005072DD"/>
    <w:rsid w:val="0051023D"/>
    <w:rsid w:val="005131D0"/>
    <w:rsid w:val="0051381B"/>
    <w:rsid w:val="00513E0C"/>
    <w:rsid w:val="00514071"/>
    <w:rsid w:val="0051499A"/>
    <w:rsid w:val="00517499"/>
    <w:rsid w:val="00517A29"/>
    <w:rsid w:val="00517C2D"/>
    <w:rsid w:val="00517C69"/>
    <w:rsid w:val="005204FA"/>
    <w:rsid w:val="005208DF"/>
    <w:rsid w:val="00520AA0"/>
    <w:rsid w:val="00520D23"/>
    <w:rsid w:val="00520FDD"/>
    <w:rsid w:val="00521700"/>
    <w:rsid w:val="00521BA9"/>
    <w:rsid w:val="005221B8"/>
    <w:rsid w:val="005237E5"/>
    <w:rsid w:val="00523BEA"/>
    <w:rsid w:val="00524789"/>
    <w:rsid w:val="00524936"/>
    <w:rsid w:val="0052527B"/>
    <w:rsid w:val="005254A2"/>
    <w:rsid w:val="0052565C"/>
    <w:rsid w:val="005259F8"/>
    <w:rsid w:val="005265A6"/>
    <w:rsid w:val="00526BCD"/>
    <w:rsid w:val="005279A9"/>
    <w:rsid w:val="00527FD1"/>
    <w:rsid w:val="00530734"/>
    <w:rsid w:val="005320D5"/>
    <w:rsid w:val="0053281F"/>
    <w:rsid w:val="00532A20"/>
    <w:rsid w:val="00532FDC"/>
    <w:rsid w:val="00535D65"/>
    <w:rsid w:val="00535FD1"/>
    <w:rsid w:val="00536762"/>
    <w:rsid w:val="005368E5"/>
    <w:rsid w:val="00536EF1"/>
    <w:rsid w:val="005371CE"/>
    <w:rsid w:val="005377A6"/>
    <w:rsid w:val="00537F48"/>
    <w:rsid w:val="005415BA"/>
    <w:rsid w:val="005427E3"/>
    <w:rsid w:val="005428A8"/>
    <w:rsid w:val="00542BA9"/>
    <w:rsid w:val="005433CE"/>
    <w:rsid w:val="005442A8"/>
    <w:rsid w:val="00544E2F"/>
    <w:rsid w:val="0054609C"/>
    <w:rsid w:val="005472D6"/>
    <w:rsid w:val="005513AB"/>
    <w:rsid w:val="005516FC"/>
    <w:rsid w:val="00551B47"/>
    <w:rsid w:val="00554243"/>
    <w:rsid w:val="0055453D"/>
    <w:rsid w:val="005551B4"/>
    <w:rsid w:val="005556A5"/>
    <w:rsid w:val="005571CF"/>
    <w:rsid w:val="005576E8"/>
    <w:rsid w:val="00560A25"/>
    <w:rsid w:val="00561892"/>
    <w:rsid w:val="00561D17"/>
    <w:rsid w:val="00562746"/>
    <w:rsid w:val="00562A9B"/>
    <w:rsid w:val="00563618"/>
    <w:rsid w:val="0056464F"/>
    <w:rsid w:val="00564E72"/>
    <w:rsid w:val="0056525A"/>
    <w:rsid w:val="00566276"/>
    <w:rsid w:val="00566A61"/>
    <w:rsid w:val="00567E36"/>
    <w:rsid w:val="0057019F"/>
    <w:rsid w:val="00570568"/>
    <w:rsid w:val="005705A9"/>
    <w:rsid w:val="00570620"/>
    <w:rsid w:val="00570732"/>
    <w:rsid w:val="00571695"/>
    <w:rsid w:val="00571FA9"/>
    <w:rsid w:val="005725F2"/>
    <w:rsid w:val="0057265A"/>
    <w:rsid w:val="00574190"/>
    <w:rsid w:val="00574798"/>
    <w:rsid w:val="00574905"/>
    <w:rsid w:val="00574B8F"/>
    <w:rsid w:val="00575A24"/>
    <w:rsid w:val="00577D1D"/>
    <w:rsid w:val="00581065"/>
    <w:rsid w:val="00581164"/>
    <w:rsid w:val="00581DB8"/>
    <w:rsid w:val="00581FA2"/>
    <w:rsid w:val="00582805"/>
    <w:rsid w:val="00583358"/>
    <w:rsid w:val="00583E41"/>
    <w:rsid w:val="00584D25"/>
    <w:rsid w:val="00584EC6"/>
    <w:rsid w:val="00585F1E"/>
    <w:rsid w:val="00585F43"/>
    <w:rsid w:val="0058635E"/>
    <w:rsid w:val="00586C1B"/>
    <w:rsid w:val="00587109"/>
    <w:rsid w:val="005877B1"/>
    <w:rsid w:val="00590C02"/>
    <w:rsid w:val="005914CA"/>
    <w:rsid w:val="0059156D"/>
    <w:rsid w:val="00591695"/>
    <w:rsid w:val="00591779"/>
    <w:rsid w:val="00592AC4"/>
    <w:rsid w:val="00594821"/>
    <w:rsid w:val="00596552"/>
    <w:rsid w:val="00596943"/>
    <w:rsid w:val="00597F74"/>
    <w:rsid w:val="005A032F"/>
    <w:rsid w:val="005A1AB3"/>
    <w:rsid w:val="005A1C04"/>
    <w:rsid w:val="005A21E3"/>
    <w:rsid w:val="005A3B84"/>
    <w:rsid w:val="005A3FA7"/>
    <w:rsid w:val="005A74AE"/>
    <w:rsid w:val="005A7873"/>
    <w:rsid w:val="005B0F63"/>
    <w:rsid w:val="005B1396"/>
    <w:rsid w:val="005B2C53"/>
    <w:rsid w:val="005B2CE8"/>
    <w:rsid w:val="005B2D37"/>
    <w:rsid w:val="005B2D8D"/>
    <w:rsid w:val="005B30A5"/>
    <w:rsid w:val="005B3275"/>
    <w:rsid w:val="005B3508"/>
    <w:rsid w:val="005B5DF1"/>
    <w:rsid w:val="005B606B"/>
    <w:rsid w:val="005B62F4"/>
    <w:rsid w:val="005B71AB"/>
    <w:rsid w:val="005B77BC"/>
    <w:rsid w:val="005C08B7"/>
    <w:rsid w:val="005C0A4C"/>
    <w:rsid w:val="005C0AE9"/>
    <w:rsid w:val="005C11D1"/>
    <w:rsid w:val="005C232C"/>
    <w:rsid w:val="005C26E3"/>
    <w:rsid w:val="005C29AE"/>
    <w:rsid w:val="005C29FF"/>
    <w:rsid w:val="005C2F5A"/>
    <w:rsid w:val="005C331F"/>
    <w:rsid w:val="005C512C"/>
    <w:rsid w:val="005C5AFA"/>
    <w:rsid w:val="005C5BCC"/>
    <w:rsid w:val="005C6799"/>
    <w:rsid w:val="005C73FC"/>
    <w:rsid w:val="005C75BA"/>
    <w:rsid w:val="005C7A77"/>
    <w:rsid w:val="005C7C33"/>
    <w:rsid w:val="005D0B6D"/>
    <w:rsid w:val="005D1D31"/>
    <w:rsid w:val="005D22A4"/>
    <w:rsid w:val="005D386F"/>
    <w:rsid w:val="005D533C"/>
    <w:rsid w:val="005D65AA"/>
    <w:rsid w:val="005D77F0"/>
    <w:rsid w:val="005E028A"/>
    <w:rsid w:val="005E04D6"/>
    <w:rsid w:val="005E0D39"/>
    <w:rsid w:val="005E0D60"/>
    <w:rsid w:val="005E0DF6"/>
    <w:rsid w:val="005E1809"/>
    <w:rsid w:val="005E1F77"/>
    <w:rsid w:val="005E2655"/>
    <w:rsid w:val="005E2A3E"/>
    <w:rsid w:val="005E3557"/>
    <w:rsid w:val="005E488A"/>
    <w:rsid w:val="005E4D10"/>
    <w:rsid w:val="005E4E9C"/>
    <w:rsid w:val="005E525C"/>
    <w:rsid w:val="005E6182"/>
    <w:rsid w:val="005E6296"/>
    <w:rsid w:val="005E65E4"/>
    <w:rsid w:val="005E6E7E"/>
    <w:rsid w:val="005E703D"/>
    <w:rsid w:val="005E7298"/>
    <w:rsid w:val="005E7EB3"/>
    <w:rsid w:val="005F2042"/>
    <w:rsid w:val="005F219B"/>
    <w:rsid w:val="005F2DAE"/>
    <w:rsid w:val="005F3FDA"/>
    <w:rsid w:val="005F40A2"/>
    <w:rsid w:val="005F499C"/>
    <w:rsid w:val="005F4AFC"/>
    <w:rsid w:val="005F4B33"/>
    <w:rsid w:val="005F4D7F"/>
    <w:rsid w:val="005F53AC"/>
    <w:rsid w:val="005F56FA"/>
    <w:rsid w:val="005F5979"/>
    <w:rsid w:val="005F60B6"/>
    <w:rsid w:val="005F63BF"/>
    <w:rsid w:val="005F7A65"/>
    <w:rsid w:val="006006D0"/>
    <w:rsid w:val="006019BA"/>
    <w:rsid w:val="006023FF"/>
    <w:rsid w:val="00604043"/>
    <w:rsid w:val="0060519C"/>
    <w:rsid w:val="00605239"/>
    <w:rsid w:val="006054FC"/>
    <w:rsid w:val="006056DA"/>
    <w:rsid w:val="00605721"/>
    <w:rsid w:val="00605778"/>
    <w:rsid w:val="00605AD8"/>
    <w:rsid w:val="006077B0"/>
    <w:rsid w:val="00611CAC"/>
    <w:rsid w:val="00611D7D"/>
    <w:rsid w:val="00612081"/>
    <w:rsid w:val="00613C65"/>
    <w:rsid w:val="006143A3"/>
    <w:rsid w:val="00614DC8"/>
    <w:rsid w:val="00614F2E"/>
    <w:rsid w:val="00615D8D"/>
    <w:rsid w:val="006162EF"/>
    <w:rsid w:val="006166C7"/>
    <w:rsid w:val="0061701A"/>
    <w:rsid w:val="00621BEA"/>
    <w:rsid w:val="00624245"/>
    <w:rsid w:val="00624499"/>
    <w:rsid w:val="006246EC"/>
    <w:rsid w:val="006247D8"/>
    <w:rsid w:val="00624A67"/>
    <w:rsid w:val="00624D02"/>
    <w:rsid w:val="00626045"/>
    <w:rsid w:val="0062663C"/>
    <w:rsid w:val="006267D1"/>
    <w:rsid w:val="00626C0A"/>
    <w:rsid w:val="00630FCC"/>
    <w:rsid w:val="006313B5"/>
    <w:rsid w:val="006330ED"/>
    <w:rsid w:val="00633748"/>
    <w:rsid w:val="00635309"/>
    <w:rsid w:val="00636004"/>
    <w:rsid w:val="0063605D"/>
    <w:rsid w:val="006367B0"/>
    <w:rsid w:val="00636CE8"/>
    <w:rsid w:val="00637746"/>
    <w:rsid w:val="00637ABD"/>
    <w:rsid w:val="00637BF6"/>
    <w:rsid w:val="006403E7"/>
    <w:rsid w:val="006405FE"/>
    <w:rsid w:val="00641B7F"/>
    <w:rsid w:val="00642AD7"/>
    <w:rsid w:val="006437C9"/>
    <w:rsid w:val="00646648"/>
    <w:rsid w:val="00646DB6"/>
    <w:rsid w:val="00647533"/>
    <w:rsid w:val="0065022F"/>
    <w:rsid w:val="00650858"/>
    <w:rsid w:val="006508FB"/>
    <w:rsid w:val="00650EDE"/>
    <w:rsid w:val="00651D2A"/>
    <w:rsid w:val="00651E12"/>
    <w:rsid w:val="006522A8"/>
    <w:rsid w:val="00652F41"/>
    <w:rsid w:val="00653AAF"/>
    <w:rsid w:val="00654814"/>
    <w:rsid w:val="006563CA"/>
    <w:rsid w:val="006575BB"/>
    <w:rsid w:val="0065776A"/>
    <w:rsid w:val="00660426"/>
    <w:rsid w:val="006619B7"/>
    <w:rsid w:val="006621E8"/>
    <w:rsid w:val="00662678"/>
    <w:rsid w:val="0066313F"/>
    <w:rsid w:val="0066366C"/>
    <w:rsid w:val="00665132"/>
    <w:rsid w:val="006652A7"/>
    <w:rsid w:val="00665DBC"/>
    <w:rsid w:val="00666161"/>
    <w:rsid w:val="006671BB"/>
    <w:rsid w:val="00667B0C"/>
    <w:rsid w:val="00667E67"/>
    <w:rsid w:val="006702A0"/>
    <w:rsid w:val="0067039B"/>
    <w:rsid w:val="00670513"/>
    <w:rsid w:val="00673571"/>
    <w:rsid w:val="006735DC"/>
    <w:rsid w:val="00673FB9"/>
    <w:rsid w:val="006746EE"/>
    <w:rsid w:val="00674728"/>
    <w:rsid w:val="00676C50"/>
    <w:rsid w:val="00676E3E"/>
    <w:rsid w:val="006774F3"/>
    <w:rsid w:val="0068198D"/>
    <w:rsid w:val="00682CFA"/>
    <w:rsid w:val="006846B1"/>
    <w:rsid w:val="00684A4D"/>
    <w:rsid w:val="00687633"/>
    <w:rsid w:val="00687ABE"/>
    <w:rsid w:val="00687CB3"/>
    <w:rsid w:val="00687E64"/>
    <w:rsid w:val="00690A61"/>
    <w:rsid w:val="00690AC8"/>
    <w:rsid w:val="00691241"/>
    <w:rsid w:val="00691285"/>
    <w:rsid w:val="00691CEA"/>
    <w:rsid w:val="006936B7"/>
    <w:rsid w:val="00694010"/>
    <w:rsid w:val="006941A0"/>
    <w:rsid w:val="0069564D"/>
    <w:rsid w:val="00695905"/>
    <w:rsid w:val="006962CF"/>
    <w:rsid w:val="00696ACD"/>
    <w:rsid w:val="0069789E"/>
    <w:rsid w:val="006A0D2C"/>
    <w:rsid w:val="006A23A1"/>
    <w:rsid w:val="006A23B7"/>
    <w:rsid w:val="006A2EBF"/>
    <w:rsid w:val="006A3397"/>
    <w:rsid w:val="006A3916"/>
    <w:rsid w:val="006A4F2D"/>
    <w:rsid w:val="006A5122"/>
    <w:rsid w:val="006A5D11"/>
    <w:rsid w:val="006A7267"/>
    <w:rsid w:val="006A73D0"/>
    <w:rsid w:val="006A7CB2"/>
    <w:rsid w:val="006B02FB"/>
    <w:rsid w:val="006B0F4A"/>
    <w:rsid w:val="006B1059"/>
    <w:rsid w:val="006B10CC"/>
    <w:rsid w:val="006B1369"/>
    <w:rsid w:val="006B1750"/>
    <w:rsid w:val="006B2236"/>
    <w:rsid w:val="006B3AA3"/>
    <w:rsid w:val="006B3CD7"/>
    <w:rsid w:val="006B4204"/>
    <w:rsid w:val="006B4FB9"/>
    <w:rsid w:val="006B5770"/>
    <w:rsid w:val="006B5A5E"/>
    <w:rsid w:val="006C16EE"/>
    <w:rsid w:val="006C16FF"/>
    <w:rsid w:val="006C2274"/>
    <w:rsid w:val="006C29B3"/>
    <w:rsid w:val="006C3F71"/>
    <w:rsid w:val="006C4AAD"/>
    <w:rsid w:val="006C4DC0"/>
    <w:rsid w:val="006C56BB"/>
    <w:rsid w:val="006C66F2"/>
    <w:rsid w:val="006C6787"/>
    <w:rsid w:val="006C713D"/>
    <w:rsid w:val="006D01B1"/>
    <w:rsid w:val="006D117A"/>
    <w:rsid w:val="006D1350"/>
    <w:rsid w:val="006D16BA"/>
    <w:rsid w:val="006D1802"/>
    <w:rsid w:val="006D1D63"/>
    <w:rsid w:val="006D2AD0"/>
    <w:rsid w:val="006D3AB1"/>
    <w:rsid w:val="006D429C"/>
    <w:rsid w:val="006D46BB"/>
    <w:rsid w:val="006D5369"/>
    <w:rsid w:val="006D6979"/>
    <w:rsid w:val="006D6E00"/>
    <w:rsid w:val="006D758C"/>
    <w:rsid w:val="006D7D52"/>
    <w:rsid w:val="006E00B5"/>
    <w:rsid w:val="006E0293"/>
    <w:rsid w:val="006E03A2"/>
    <w:rsid w:val="006E0ADE"/>
    <w:rsid w:val="006E14C2"/>
    <w:rsid w:val="006E17E8"/>
    <w:rsid w:val="006E1A3D"/>
    <w:rsid w:val="006E335F"/>
    <w:rsid w:val="006E34F5"/>
    <w:rsid w:val="006E3D69"/>
    <w:rsid w:val="006E3EEF"/>
    <w:rsid w:val="006E425C"/>
    <w:rsid w:val="006E42F6"/>
    <w:rsid w:val="006E4DCF"/>
    <w:rsid w:val="006E597D"/>
    <w:rsid w:val="006E5C82"/>
    <w:rsid w:val="006E6C5A"/>
    <w:rsid w:val="006E786B"/>
    <w:rsid w:val="006F08BA"/>
    <w:rsid w:val="006F1DEC"/>
    <w:rsid w:val="006F22CA"/>
    <w:rsid w:val="006F40C3"/>
    <w:rsid w:val="006F5918"/>
    <w:rsid w:val="006F5D7A"/>
    <w:rsid w:val="006F67B9"/>
    <w:rsid w:val="006F764B"/>
    <w:rsid w:val="00700D11"/>
    <w:rsid w:val="00701BD0"/>
    <w:rsid w:val="00701BF8"/>
    <w:rsid w:val="007028AC"/>
    <w:rsid w:val="00703D57"/>
    <w:rsid w:val="0070475C"/>
    <w:rsid w:val="0070519C"/>
    <w:rsid w:val="00705CCB"/>
    <w:rsid w:val="00706351"/>
    <w:rsid w:val="007069FD"/>
    <w:rsid w:val="007106C3"/>
    <w:rsid w:val="00710F92"/>
    <w:rsid w:val="0071168A"/>
    <w:rsid w:val="0071245F"/>
    <w:rsid w:val="007124A9"/>
    <w:rsid w:val="00712EC8"/>
    <w:rsid w:val="007133CB"/>
    <w:rsid w:val="00713C43"/>
    <w:rsid w:val="007140CE"/>
    <w:rsid w:val="007140ED"/>
    <w:rsid w:val="00716D20"/>
    <w:rsid w:val="00716F09"/>
    <w:rsid w:val="0072094F"/>
    <w:rsid w:val="00721C08"/>
    <w:rsid w:val="00721EF3"/>
    <w:rsid w:val="007235A2"/>
    <w:rsid w:val="00723DD2"/>
    <w:rsid w:val="007247F0"/>
    <w:rsid w:val="00725F7A"/>
    <w:rsid w:val="0072711B"/>
    <w:rsid w:val="00730723"/>
    <w:rsid w:val="007312F4"/>
    <w:rsid w:val="00731A4D"/>
    <w:rsid w:val="00732873"/>
    <w:rsid w:val="00732A32"/>
    <w:rsid w:val="007349E1"/>
    <w:rsid w:val="00734A27"/>
    <w:rsid w:val="00734E96"/>
    <w:rsid w:val="0073500C"/>
    <w:rsid w:val="0073563F"/>
    <w:rsid w:val="00735728"/>
    <w:rsid w:val="007363CD"/>
    <w:rsid w:val="0073646C"/>
    <w:rsid w:val="00736860"/>
    <w:rsid w:val="00737640"/>
    <w:rsid w:val="00737A82"/>
    <w:rsid w:val="00740C17"/>
    <w:rsid w:val="00741443"/>
    <w:rsid w:val="007430CA"/>
    <w:rsid w:val="00744498"/>
    <w:rsid w:val="00744725"/>
    <w:rsid w:val="00744F02"/>
    <w:rsid w:val="00746752"/>
    <w:rsid w:val="00746C9B"/>
    <w:rsid w:val="00750241"/>
    <w:rsid w:val="0075030A"/>
    <w:rsid w:val="00750543"/>
    <w:rsid w:val="0075120B"/>
    <w:rsid w:val="00751408"/>
    <w:rsid w:val="00751C24"/>
    <w:rsid w:val="00752584"/>
    <w:rsid w:val="0075451E"/>
    <w:rsid w:val="007559FE"/>
    <w:rsid w:val="00755A89"/>
    <w:rsid w:val="00755DFF"/>
    <w:rsid w:val="00756496"/>
    <w:rsid w:val="00756547"/>
    <w:rsid w:val="00756C74"/>
    <w:rsid w:val="0075704B"/>
    <w:rsid w:val="007579A4"/>
    <w:rsid w:val="007579D3"/>
    <w:rsid w:val="00757A1D"/>
    <w:rsid w:val="00757A86"/>
    <w:rsid w:val="00757C09"/>
    <w:rsid w:val="007600C9"/>
    <w:rsid w:val="00761805"/>
    <w:rsid w:val="007619D7"/>
    <w:rsid w:val="00762309"/>
    <w:rsid w:val="00763479"/>
    <w:rsid w:val="00763760"/>
    <w:rsid w:val="00763B85"/>
    <w:rsid w:val="00764486"/>
    <w:rsid w:val="00765D2A"/>
    <w:rsid w:val="007661AE"/>
    <w:rsid w:val="007672A3"/>
    <w:rsid w:val="00770625"/>
    <w:rsid w:val="00770800"/>
    <w:rsid w:val="00770C66"/>
    <w:rsid w:val="00773FC2"/>
    <w:rsid w:val="00773FFB"/>
    <w:rsid w:val="00774989"/>
    <w:rsid w:val="00775E91"/>
    <w:rsid w:val="007762AE"/>
    <w:rsid w:val="00776491"/>
    <w:rsid w:val="0077698C"/>
    <w:rsid w:val="00780843"/>
    <w:rsid w:val="007808BA"/>
    <w:rsid w:val="00780C6E"/>
    <w:rsid w:val="007853E6"/>
    <w:rsid w:val="0078541C"/>
    <w:rsid w:val="007861A1"/>
    <w:rsid w:val="00786840"/>
    <w:rsid w:val="0078706B"/>
    <w:rsid w:val="00790D6C"/>
    <w:rsid w:val="0079166A"/>
    <w:rsid w:val="0079221A"/>
    <w:rsid w:val="007942F5"/>
    <w:rsid w:val="0079458B"/>
    <w:rsid w:val="007960E8"/>
    <w:rsid w:val="007969FD"/>
    <w:rsid w:val="00797DD3"/>
    <w:rsid w:val="007A0C2B"/>
    <w:rsid w:val="007A1254"/>
    <w:rsid w:val="007A1467"/>
    <w:rsid w:val="007A24FB"/>
    <w:rsid w:val="007A2864"/>
    <w:rsid w:val="007A3FA3"/>
    <w:rsid w:val="007A4CF9"/>
    <w:rsid w:val="007A5970"/>
    <w:rsid w:val="007A75E1"/>
    <w:rsid w:val="007A7DD3"/>
    <w:rsid w:val="007B08C4"/>
    <w:rsid w:val="007B191F"/>
    <w:rsid w:val="007B1AD2"/>
    <w:rsid w:val="007B355A"/>
    <w:rsid w:val="007B39F4"/>
    <w:rsid w:val="007B3E8F"/>
    <w:rsid w:val="007B46C8"/>
    <w:rsid w:val="007B4B78"/>
    <w:rsid w:val="007B610E"/>
    <w:rsid w:val="007B6566"/>
    <w:rsid w:val="007B7A55"/>
    <w:rsid w:val="007C05C7"/>
    <w:rsid w:val="007C0D27"/>
    <w:rsid w:val="007C0EF4"/>
    <w:rsid w:val="007C1027"/>
    <w:rsid w:val="007C13B0"/>
    <w:rsid w:val="007C1F91"/>
    <w:rsid w:val="007C1FE2"/>
    <w:rsid w:val="007C20FD"/>
    <w:rsid w:val="007C2741"/>
    <w:rsid w:val="007C333E"/>
    <w:rsid w:val="007C3E04"/>
    <w:rsid w:val="007C46E0"/>
    <w:rsid w:val="007C4809"/>
    <w:rsid w:val="007C4882"/>
    <w:rsid w:val="007C4AA3"/>
    <w:rsid w:val="007C7044"/>
    <w:rsid w:val="007C73B9"/>
    <w:rsid w:val="007C7A99"/>
    <w:rsid w:val="007D0634"/>
    <w:rsid w:val="007D08D0"/>
    <w:rsid w:val="007D0AAF"/>
    <w:rsid w:val="007D15A8"/>
    <w:rsid w:val="007D1DDB"/>
    <w:rsid w:val="007D42CD"/>
    <w:rsid w:val="007D5062"/>
    <w:rsid w:val="007D6090"/>
    <w:rsid w:val="007D6570"/>
    <w:rsid w:val="007D6CC9"/>
    <w:rsid w:val="007D73DA"/>
    <w:rsid w:val="007D7535"/>
    <w:rsid w:val="007D76FE"/>
    <w:rsid w:val="007D781C"/>
    <w:rsid w:val="007E0072"/>
    <w:rsid w:val="007E0077"/>
    <w:rsid w:val="007E0B55"/>
    <w:rsid w:val="007E0F35"/>
    <w:rsid w:val="007E125B"/>
    <w:rsid w:val="007E188C"/>
    <w:rsid w:val="007E27E3"/>
    <w:rsid w:val="007E4293"/>
    <w:rsid w:val="007E5314"/>
    <w:rsid w:val="007E5998"/>
    <w:rsid w:val="007E70DE"/>
    <w:rsid w:val="007E7999"/>
    <w:rsid w:val="007F156B"/>
    <w:rsid w:val="007F175C"/>
    <w:rsid w:val="007F188A"/>
    <w:rsid w:val="007F1914"/>
    <w:rsid w:val="007F2187"/>
    <w:rsid w:val="007F2F11"/>
    <w:rsid w:val="007F3253"/>
    <w:rsid w:val="007F4001"/>
    <w:rsid w:val="007F4438"/>
    <w:rsid w:val="007F4CDB"/>
    <w:rsid w:val="007F5DA8"/>
    <w:rsid w:val="007F5E0D"/>
    <w:rsid w:val="007F6B06"/>
    <w:rsid w:val="00801190"/>
    <w:rsid w:val="0080152E"/>
    <w:rsid w:val="0080217E"/>
    <w:rsid w:val="00803700"/>
    <w:rsid w:val="00803E1C"/>
    <w:rsid w:val="00803F98"/>
    <w:rsid w:val="008047D2"/>
    <w:rsid w:val="008049A5"/>
    <w:rsid w:val="00804B77"/>
    <w:rsid w:val="00804F96"/>
    <w:rsid w:val="00805B04"/>
    <w:rsid w:val="008062A5"/>
    <w:rsid w:val="00806C7B"/>
    <w:rsid w:val="00806F3F"/>
    <w:rsid w:val="0080744D"/>
    <w:rsid w:val="00807C4A"/>
    <w:rsid w:val="00810A7A"/>
    <w:rsid w:val="00811833"/>
    <w:rsid w:val="00811931"/>
    <w:rsid w:val="008135C8"/>
    <w:rsid w:val="00813E25"/>
    <w:rsid w:val="0081424E"/>
    <w:rsid w:val="00815036"/>
    <w:rsid w:val="00815461"/>
    <w:rsid w:val="00815BC9"/>
    <w:rsid w:val="00816347"/>
    <w:rsid w:val="00817113"/>
    <w:rsid w:val="00817821"/>
    <w:rsid w:val="00817EAD"/>
    <w:rsid w:val="00820F53"/>
    <w:rsid w:val="008219FC"/>
    <w:rsid w:val="00823839"/>
    <w:rsid w:val="00824C0F"/>
    <w:rsid w:val="00824E44"/>
    <w:rsid w:val="00825D9D"/>
    <w:rsid w:val="008261A6"/>
    <w:rsid w:val="00826C2E"/>
    <w:rsid w:val="008301A0"/>
    <w:rsid w:val="008301DB"/>
    <w:rsid w:val="0083143F"/>
    <w:rsid w:val="00832DB1"/>
    <w:rsid w:val="008335A5"/>
    <w:rsid w:val="00834EEA"/>
    <w:rsid w:val="00834FC1"/>
    <w:rsid w:val="0083578E"/>
    <w:rsid w:val="0083607F"/>
    <w:rsid w:val="0083678C"/>
    <w:rsid w:val="008370D8"/>
    <w:rsid w:val="008371C3"/>
    <w:rsid w:val="0084065D"/>
    <w:rsid w:val="00840E14"/>
    <w:rsid w:val="0084124B"/>
    <w:rsid w:val="008414DB"/>
    <w:rsid w:val="00841DE9"/>
    <w:rsid w:val="00843B65"/>
    <w:rsid w:val="0084653C"/>
    <w:rsid w:val="00847212"/>
    <w:rsid w:val="0084754E"/>
    <w:rsid w:val="00847A4D"/>
    <w:rsid w:val="008504FF"/>
    <w:rsid w:val="00850EFA"/>
    <w:rsid w:val="008522AC"/>
    <w:rsid w:val="0085264F"/>
    <w:rsid w:val="00852CF9"/>
    <w:rsid w:val="0085351C"/>
    <w:rsid w:val="0085431C"/>
    <w:rsid w:val="0085599E"/>
    <w:rsid w:val="008601D8"/>
    <w:rsid w:val="00860C2B"/>
    <w:rsid w:val="00860C3F"/>
    <w:rsid w:val="00861B26"/>
    <w:rsid w:val="00861F26"/>
    <w:rsid w:val="00862611"/>
    <w:rsid w:val="00862B66"/>
    <w:rsid w:val="00863E3A"/>
    <w:rsid w:val="0086556E"/>
    <w:rsid w:val="00866B9A"/>
    <w:rsid w:val="008671ED"/>
    <w:rsid w:val="008672E8"/>
    <w:rsid w:val="00867735"/>
    <w:rsid w:val="00867D37"/>
    <w:rsid w:val="008701D2"/>
    <w:rsid w:val="00870207"/>
    <w:rsid w:val="008726B8"/>
    <w:rsid w:val="00872EB3"/>
    <w:rsid w:val="00872F65"/>
    <w:rsid w:val="008736CC"/>
    <w:rsid w:val="00873C68"/>
    <w:rsid w:val="00874424"/>
    <w:rsid w:val="0087486D"/>
    <w:rsid w:val="0087719B"/>
    <w:rsid w:val="00877C44"/>
    <w:rsid w:val="008831D8"/>
    <w:rsid w:val="008839D7"/>
    <w:rsid w:val="008849E5"/>
    <w:rsid w:val="008853B6"/>
    <w:rsid w:val="00885768"/>
    <w:rsid w:val="008859B8"/>
    <w:rsid w:val="008878D8"/>
    <w:rsid w:val="0088795D"/>
    <w:rsid w:val="00887BD8"/>
    <w:rsid w:val="00887F77"/>
    <w:rsid w:val="00890DB9"/>
    <w:rsid w:val="00891252"/>
    <w:rsid w:val="008912CF"/>
    <w:rsid w:val="008916C1"/>
    <w:rsid w:val="00891A2E"/>
    <w:rsid w:val="00891BDD"/>
    <w:rsid w:val="00892E9B"/>
    <w:rsid w:val="00893E41"/>
    <w:rsid w:val="0089448C"/>
    <w:rsid w:val="008954A3"/>
    <w:rsid w:val="00895F68"/>
    <w:rsid w:val="0089697A"/>
    <w:rsid w:val="00897B74"/>
    <w:rsid w:val="00897F56"/>
    <w:rsid w:val="008A0D36"/>
    <w:rsid w:val="008A3EBA"/>
    <w:rsid w:val="008A3F46"/>
    <w:rsid w:val="008A42E2"/>
    <w:rsid w:val="008A4827"/>
    <w:rsid w:val="008A5910"/>
    <w:rsid w:val="008A5A4B"/>
    <w:rsid w:val="008A6009"/>
    <w:rsid w:val="008A6E6B"/>
    <w:rsid w:val="008A70E9"/>
    <w:rsid w:val="008A7967"/>
    <w:rsid w:val="008A7B19"/>
    <w:rsid w:val="008B0B8D"/>
    <w:rsid w:val="008B1441"/>
    <w:rsid w:val="008B1BE9"/>
    <w:rsid w:val="008B1F54"/>
    <w:rsid w:val="008B3114"/>
    <w:rsid w:val="008B364A"/>
    <w:rsid w:val="008B3D65"/>
    <w:rsid w:val="008B3FCE"/>
    <w:rsid w:val="008B4E78"/>
    <w:rsid w:val="008B4EC0"/>
    <w:rsid w:val="008B5135"/>
    <w:rsid w:val="008B6756"/>
    <w:rsid w:val="008B6CE9"/>
    <w:rsid w:val="008B7E2E"/>
    <w:rsid w:val="008C0B3A"/>
    <w:rsid w:val="008C1062"/>
    <w:rsid w:val="008C1C10"/>
    <w:rsid w:val="008C1E9E"/>
    <w:rsid w:val="008C365D"/>
    <w:rsid w:val="008C45EE"/>
    <w:rsid w:val="008C586D"/>
    <w:rsid w:val="008C5AC0"/>
    <w:rsid w:val="008C75F4"/>
    <w:rsid w:val="008D10A3"/>
    <w:rsid w:val="008D1BDB"/>
    <w:rsid w:val="008D1C09"/>
    <w:rsid w:val="008D22AF"/>
    <w:rsid w:val="008D3C03"/>
    <w:rsid w:val="008D4952"/>
    <w:rsid w:val="008D5129"/>
    <w:rsid w:val="008D5DF2"/>
    <w:rsid w:val="008D668A"/>
    <w:rsid w:val="008E0D6C"/>
    <w:rsid w:val="008E0ED6"/>
    <w:rsid w:val="008E1C36"/>
    <w:rsid w:val="008E1EAD"/>
    <w:rsid w:val="008E207E"/>
    <w:rsid w:val="008E2090"/>
    <w:rsid w:val="008E270A"/>
    <w:rsid w:val="008E2AC4"/>
    <w:rsid w:val="008E3301"/>
    <w:rsid w:val="008E36DE"/>
    <w:rsid w:val="008E399B"/>
    <w:rsid w:val="008E5DD7"/>
    <w:rsid w:val="008E5E98"/>
    <w:rsid w:val="008E6C25"/>
    <w:rsid w:val="008E7D58"/>
    <w:rsid w:val="008E7FEB"/>
    <w:rsid w:val="008F0023"/>
    <w:rsid w:val="008F02CC"/>
    <w:rsid w:val="008F0316"/>
    <w:rsid w:val="008F0CE9"/>
    <w:rsid w:val="008F0DF7"/>
    <w:rsid w:val="008F12D0"/>
    <w:rsid w:val="008F19D1"/>
    <w:rsid w:val="008F23B8"/>
    <w:rsid w:val="008F2B11"/>
    <w:rsid w:val="008F31A7"/>
    <w:rsid w:val="008F3BB9"/>
    <w:rsid w:val="008F46EE"/>
    <w:rsid w:val="008F4DE5"/>
    <w:rsid w:val="008F5EB2"/>
    <w:rsid w:val="008F6884"/>
    <w:rsid w:val="008F7A1C"/>
    <w:rsid w:val="008F7EFB"/>
    <w:rsid w:val="009010D7"/>
    <w:rsid w:val="0090114D"/>
    <w:rsid w:val="0090183E"/>
    <w:rsid w:val="00902A0B"/>
    <w:rsid w:val="00903556"/>
    <w:rsid w:val="00903F9F"/>
    <w:rsid w:val="009049D0"/>
    <w:rsid w:val="00904F0D"/>
    <w:rsid w:val="0090501C"/>
    <w:rsid w:val="009052EA"/>
    <w:rsid w:val="00906A2A"/>
    <w:rsid w:val="0090724A"/>
    <w:rsid w:val="00910741"/>
    <w:rsid w:val="00910E3A"/>
    <w:rsid w:val="00911A80"/>
    <w:rsid w:val="00911BCB"/>
    <w:rsid w:val="00911E6A"/>
    <w:rsid w:val="009120E3"/>
    <w:rsid w:val="00912320"/>
    <w:rsid w:val="00912689"/>
    <w:rsid w:val="00912699"/>
    <w:rsid w:val="00913950"/>
    <w:rsid w:val="00913BCB"/>
    <w:rsid w:val="00913F80"/>
    <w:rsid w:val="0091436D"/>
    <w:rsid w:val="00914DF2"/>
    <w:rsid w:val="00916024"/>
    <w:rsid w:val="009166F6"/>
    <w:rsid w:val="00917C49"/>
    <w:rsid w:val="00917ED6"/>
    <w:rsid w:val="00920187"/>
    <w:rsid w:val="00920988"/>
    <w:rsid w:val="00921E11"/>
    <w:rsid w:val="009224C5"/>
    <w:rsid w:val="00923037"/>
    <w:rsid w:val="009232D5"/>
    <w:rsid w:val="00923747"/>
    <w:rsid w:val="009240A1"/>
    <w:rsid w:val="009262E1"/>
    <w:rsid w:val="009266A8"/>
    <w:rsid w:val="00930911"/>
    <w:rsid w:val="009317D7"/>
    <w:rsid w:val="0093328E"/>
    <w:rsid w:val="0094086E"/>
    <w:rsid w:val="00940E17"/>
    <w:rsid w:val="0094145F"/>
    <w:rsid w:val="00941E33"/>
    <w:rsid w:val="0094216A"/>
    <w:rsid w:val="00944454"/>
    <w:rsid w:val="009445C1"/>
    <w:rsid w:val="009469F8"/>
    <w:rsid w:val="00946AB6"/>
    <w:rsid w:val="00946AD6"/>
    <w:rsid w:val="00947070"/>
    <w:rsid w:val="00950B18"/>
    <w:rsid w:val="00952817"/>
    <w:rsid w:val="00953000"/>
    <w:rsid w:val="00953607"/>
    <w:rsid w:val="0095390D"/>
    <w:rsid w:val="009539A9"/>
    <w:rsid w:val="00954225"/>
    <w:rsid w:val="0095509F"/>
    <w:rsid w:val="009550F7"/>
    <w:rsid w:val="00955290"/>
    <w:rsid w:val="00955420"/>
    <w:rsid w:val="009554E1"/>
    <w:rsid w:val="00955799"/>
    <w:rsid w:val="00956179"/>
    <w:rsid w:val="0095748C"/>
    <w:rsid w:val="00960479"/>
    <w:rsid w:val="00960CBF"/>
    <w:rsid w:val="00961D5F"/>
    <w:rsid w:val="00962DA7"/>
    <w:rsid w:val="00963820"/>
    <w:rsid w:val="00963B2B"/>
    <w:rsid w:val="00963DC7"/>
    <w:rsid w:val="00963EA1"/>
    <w:rsid w:val="00964758"/>
    <w:rsid w:val="009647C2"/>
    <w:rsid w:val="00966089"/>
    <w:rsid w:val="00966A71"/>
    <w:rsid w:val="00966AD3"/>
    <w:rsid w:val="00967646"/>
    <w:rsid w:val="00967687"/>
    <w:rsid w:val="00967C67"/>
    <w:rsid w:val="00967D2B"/>
    <w:rsid w:val="0097014D"/>
    <w:rsid w:val="0097123D"/>
    <w:rsid w:val="0097159A"/>
    <w:rsid w:val="009726C3"/>
    <w:rsid w:val="00973EC0"/>
    <w:rsid w:val="00974E0C"/>
    <w:rsid w:val="00974E5F"/>
    <w:rsid w:val="00975847"/>
    <w:rsid w:val="00975EF2"/>
    <w:rsid w:val="00976496"/>
    <w:rsid w:val="00976680"/>
    <w:rsid w:val="00976B8C"/>
    <w:rsid w:val="00977A2A"/>
    <w:rsid w:val="00977B16"/>
    <w:rsid w:val="00977C73"/>
    <w:rsid w:val="00977DE2"/>
    <w:rsid w:val="00982F72"/>
    <w:rsid w:val="00983501"/>
    <w:rsid w:val="00983531"/>
    <w:rsid w:val="009838CD"/>
    <w:rsid w:val="00983AB6"/>
    <w:rsid w:val="00984202"/>
    <w:rsid w:val="009844FF"/>
    <w:rsid w:val="00984B91"/>
    <w:rsid w:val="00985018"/>
    <w:rsid w:val="009859E0"/>
    <w:rsid w:val="00985B36"/>
    <w:rsid w:val="00985D47"/>
    <w:rsid w:val="009860FA"/>
    <w:rsid w:val="0099032B"/>
    <w:rsid w:val="009907C6"/>
    <w:rsid w:val="00990CAA"/>
    <w:rsid w:val="0099166F"/>
    <w:rsid w:val="00991C52"/>
    <w:rsid w:val="00991D9B"/>
    <w:rsid w:val="009920A9"/>
    <w:rsid w:val="00993461"/>
    <w:rsid w:val="0099459C"/>
    <w:rsid w:val="00994620"/>
    <w:rsid w:val="0099544E"/>
    <w:rsid w:val="009959CD"/>
    <w:rsid w:val="00995CE2"/>
    <w:rsid w:val="0099624C"/>
    <w:rsid w:val="00996583"/>
    <w:rsid w:val="0099661B"/>
    <w:rsid w:val="00996F90"/>
    <w:rsid w:val="00997C10"/>
    <w:rsid w:val="009A06F8"/>
    <w:rsid w:val="009A0836"/>
    <w:rsid w:val="009A139E"/>
    <w:rsid w:val="009A1503"/>
    <w:rsid w:val="009A17A7"/>
    <w:rsid w:val="009A2E1C"/>
    <w:rsid w:val="009A3C56"/>
    <w:rsid w:val="009A3C59"/>
    <w:rsid w:val="009A4691"/>
    <w:rsid w:val="009A4D0C"/>
    <w:rsid w:val="009A58CD"/>
    <w:rsid w:val="009A6CA2"/>
    <w:rsid w:val="009A6F7F"/>
    <w:rsid w:val="009B139F"/>
    <w:rsid w:val="009B3E02"/>
    <w:rsid w:val="009B481D"/>
    <w:rsid w:val="009B56F8"/>
    <w:rsid w:val="009B66B0"/>
    <w:rsid w:val="009B7586"/>
    <w:rsid w:val="009C25F8"/>
    <w:rsid w:val="009C2B14"/>
    <w:rsid w:val="009C31E2"/>
    <w:rsid w:val="009C36CD"/>
    <w:rsid w:val="009C36F4"/>
    <w:rsid w:val="009C3C3E"/>
    <w:rsid w:val="009C4329"/>
    <w:rsid w:val="009C4E59"/>
    <w:rsid w:val="009C5C60"/>
    <w:rsid w:val="009C6C1B"/>
    <w:rsid w:val="009C6FCA"/>
    <w:rsid w:val="009C710F"/>
    <w:rsid w:val="009C7E09"/>
    <w:rsid w:val="009D02C4"/>
    <w:rsid w:val="009D16CF"/>
    <w:rsid w:val="009D1FEC"/>
    <w:rsid w:val="009D2743"/>
    <w:rsid w:val="009D2DF8"/>
    <w:rsid w:val="009D30A7"/>
    <w:rsid w:val="009D3D30"/>
    <w:rsid w:val="009D5375"/>
    <w:rsid w:val="009D54DF"/>
    <w:rsid w:val="009D60C0"/>
    <w:rsid w:val="009D63EE"/>
    <w:rsid w:val="009D6F16"/>
    <w:rsid w:val="009D6FFA"/>
    <w:rsid w:val="009D7F34"/>
    <w:rsid w:val="009E0494"/>
    <w:rsid w:val="009E119D"/>
    <w:rsid w:val="009E19E3"/>
    <w:rsid w:val="009E2684"/>
    <w:rsid w:val="009E2D64"/>
    <w:rsid w:val="009E35B2"/>
    <w:rsid w:val="009E44CE"/>
    <w:rsid w:val="009E4E26"/>
    <w:rsid w:val="009E6DA4"/>
    <w:rsid w:val="009E70A2"/>
    <w:rsid w:val="009F0033"/>
    <w:rsid w:val="009F02BD"/>
    <w:rsid w:val="009F04F8"/>
    <w:rsid w:val="009F0ABE"/>
    <w:rsid w:val="009F0C2E"/>
    <w:rsid w:val="009F0E17"/>
    <w:rsid w:val="009F14D5"/>
    <w:rsid w:val="009F1670"/>
    <w:rsid w:val="009F2832"/>
    <w:rsid w:val="009F2903"/>
    <w:rsid w:val="009F2D52"/>
    <w:rsid w:val="009F3837"/>
    <w:rsid w:val="009F39D6"/>
    <w:rsid w:val="009F419E"/>
    <w:rsid w:val="009F45C0"/>
    <w:rsid w:val="009F45CA"/>
    <w:rsid w:val="009F4A7C"/>
    <w:rsid w:val="009F68D9"/>
    <w:rsid w:val="009F6BE8"/>
    <w:rsid w:val="009F7099"/>
    <w:rsid w:val="009F7167"/>
    <w:rsid w:val="00A0048C"/>
    <w:rsid w:val="00A00890"/>
    <w:rsid w:val="00A00CFE"/>
    <w:rsid w:val="00A026A4"/>
    <w:rsid w:val="00A03C72"/>
    <w:rsid w:val="00A03DA6"/>
    <w:rsid w:val="00A04657"/>
    <w:rsid w:val="00A06272"/>
    <w:rsid w:val="00A06720"/>
    <w:rsid w:val="00A06964"/>
    <w:rsid w:val="00A06E90"/>
    <w:rsid w:val="00A106EB"/>
    <w:rsid w:val="00A11C4D"/>
    <w:rsid w:val="00A125DA"/>
    <w:rsid w:val="00A12A7B"/>
    <w:rsid w:val="00A132A3"/>
    <w:rsid w:val="00A15436"/>
    <w:rsid w:val="00A1571A"/>
    <w:rsid w:val="00A15760"/>
    <w:rsid w:val="00A161A4"/>
    <w:rsid w:val="00A17109"/>
    <w:rsid w:val="00A17775"/>
    <w:rsid w:val="00A22C41"/>
    <w:rsid w:val="00A23181"/>
    <w:rsid w:val="00A23AFD"/>
    <w:rsid w:val="00A257DF"/>
    <w:rsid w:val="00A26488"/>
    <w:rsid w:val="00A26540"/>
    <w:rsid w:val="00A269AB"/>
    <w:rsid w:val="00A26FDF"/>
    <w:rsid w:val="00A30A48"/>
    <w:rsid w:val="00A33437"/>
    <w:rsid w:val="00A33D0F"/>
    <w:rsid w:val="00A35C20"/>
    <w:rsid w:val="00A362B0"/>
    <w:rsid w:val="00A365F6"/>
    <w:rsid w:val="00A36685"/>
    <w:rsid w:val="00A36EFC"/>
    <w:rsid w:val="00A37138"/>
    <w:rsid w:val="00A372B1"/>
    <w:rsid w:val="00A3797E"/>
    <w:rsid w:val="00A40490"/>
    <w:rsid w:val="00A40B96"/>
    <w:rsid w:val="00A41256"/>
    <w:rsid w:val="00A413C2"/>
    <w:rsid w:val="00A425B9"/>
    <w:rsid w:val="00A42B1B"/>
    <w:rsid w:val="00A43171"/>
    <w:rsid w:val="00A43D63"/>
    <w:rsid w:val="00A44126"/>
    <w:rsid w:val="00A44233"/>
    <w:rsid w:val="00A45249"/>
    <w:rsid w:val="00A45D7F"/>
    <w:rsid w:val="00A47EC5"/>
    <w:rsid w:val="00A47EFF"/>
    <w:rsid w:val="00A47FB7"/>
    <w:rsid w:val="00A5017C"/>
    <w:rsid w:val="00A509EC"/>
    <w:rsid w:val="00A5130F"/>
    <w:rsid w:val="00A513BB"/>
    <w:rsid w:val="00A53A4A"/>
    <w:rsid w:val="00A54C9D"/>
    <w:rsid w:val="00A55082"/>
    <w:rsid w:val="00A55690"/>
    <w:rsid w:val="00A55E8B"/>
    <w:rsid w:val="00A565FD"/>
    <w:rsid w:val="00A56FB0"/>
    <w:rsid w:val="00A60093"/>
    <w:rsid w:val="00A600EF"/>
    <w:rsid w:val="00A60A2C"/>
    <w:rsid w:val="00A60AFD"/>
    <w:rsid w:val="00A610C8"/>
    <w:rsid w:val="00A61AE5"/>
    <w:rsid w:val="00A61B5D"/>
    <w:rsid w:val="00A61B75"/>
    <w:rsid w:val="00A61CDB"/>
    <w:rsid w:val="00A61DF1"/>
    <w:rsid w:val="00A62076"/>
    <w:rsid w:val="00A628C5"/>
    <w:rsid w:val="00A638ED"/>
    <w:rsid w:val="00A6469C"/>
    <w:rsid w:val="00A646CB"/>
    <w:rsid w:val="00A65D64"/>
    <w:rsid w:val="00A65F95"/>
    <w:rsid w:val="00A6657F"/>
    <w:rsid w:val="00A66838"/>
    <w:rsid w:val="00A66A9E"/>
    <w:rsid w:val="00A71214"/>
    <w:rsid w:val="00A7360E"/>
    <w:rsid w:val="00A74126"/>
    <w:rsid w:val="00A77977"/>
    <w:rsid w:val="00A80F20"/>
    <w:rsid w:val="00A820C1"/>
    <w:rsid w:val="00A82A51"/>
    <w:rsid w:val="00A831E8"/>
    <w:rsid w:val="00A85710"/>
    <w:rsid w:val="00A85FAC"/>
    <w:rsid w:val="00A871FF"/>
    <w:rsid w:val="00A874C8"/>
    <w:rsid w:val="00A87A0E"/>
    <w:rsid w:val="00A87D49"/>
    <w:rsid w:val="00A9146E"/>
    <w:rsid w:val="00A91675"/>
    <w:rsid w:val="00A91728"/>
    <w:rsid w:val="00A92664"/>
    <w:rsid w:val="00A9318B"/>
    <w:rsid w:val="00A9453A"/>
    <w:rsid w:val="00A94653"/>
    <w:rsid w:val="00A9497B"/>
    <w:rsid w:val="00A94C3F"/>
    <w:rsid w:val="00A9520B"/>
    <w:rsid w:val="00A952F6"/>
    <w:rsid w:val="00A953B4"/>
    <w:rsid w:val="00A95F6F"/>
    <w:rsid w:val="00A965C4"/>
    <w:rsid w:val="00A96985"/>
    <w:rsid w:val="00A96A2B"/>
    <w:rsid w:val="00A97E37"/>
    <w:rsid w:val="00AA13B8"/>
    <w:rsid w:val="00AA1952"/>
    <w:rsid w:val="00AA1DD0"/>
    <w:rsid w:val="00AA209C"/>
    <w:rsid w:val="00AA22BC"/>
    <w:rsid w:val="00AA2CA3"/>
    <w:rsid w:val="00AA2E4C"/>
    <w:rsid w:val="00AA4122"/>
    <w:rsid w:val="00AA52CD"/>
    <w:rsid w:val="00AA582D"/>
    <w:rsid w:val="00AA5924"/>
    <w:rsid w:val="00AA7131"/>
    <w:rsid w:val="00AA7425"/>
    <w:rsid w:val="00AB0526"/>
    <w:rsid w:val="00AB0BC9"/>
    <w:rsid w:val="00AB107D"/>
    <w:rsid w:val="00AB1B0B"/>
    <w:rsid w:val="00AB21B6"/>
    <w:rsid w:val="00AB27F2"/>
    <w:rsid w:val="00AB295E"/>
    <w:rsid w:val="00AB300D"/>
    <w:rsid w:val="00AB3129"/>
    <w:rsid w:val="00AB32E6"/>
    <w:rsid w:val="00AB3DE2"/>
    <w:rsid w:val="00AB6019"/>
    <w:rsid w:val="00AB6B3B"/>
    <w:rsid w:val="00AB7649"/>
    <w:rsid w:val="00AC058F"/>
    <w:rsid w:val="00AC0C93"/>
    <w:rsid w:val="00AC1016"/>
    <w:rsid w:val="00AC1B99"/>
    <w:rsid w:val="00AC2105"/>
    <w:rsid w:val="00AC210A"/>
    <w:rsid w:val="00AC2CB3"/>
    <w:rsid w:val="00AC31DB"/>
    <w:rsid w:val="00AC414E"/>
    <w:rsid w:val="00AC5196"/>
    <w:rsid w:val="00AC5295"/>
    <w:rsid w:val="00AC7A90"/>
    <w:rsid w:val="00AD0D00"/>
    <w:rsid w:val="00AD1307"/>
    <w:rsid w:val="00AD1B54"/>
    <w:rsid w:val="00AD1C7F"/>
    <w:rsid w:val="00AD2288"/>
    <w:rsid w:val="00AD2E97"/>
    <w:rsid w:val="00AD361A"/>
    <w:rsid w:val="00AD378D"/>
    <w:rsid w:val="00AD39D8"/>
    <w:rsid w:val="00AD44D0"/>
    <w:rsid w:val="00AD4D4E"/>
    <w:rsid w:val="00AD4E6E"/>
    <w:rsid w:val="00AD53AB"/>
    <w:rsid w:val="00AD582B"/>
    <w:rsid w:val="00AD63D7"/>
    <w:rsid w:val="00AD657C"/>
    <w:rsid w:val="00AD7D57"/>
    <w:rsid w:val="00AD7EB5"/>
    <w:rsid w:val="00AE04C4"/>
    <w:rsid w:val="00AE2F4B"/>
    <w:rsid w:val="00AE347F"/>
    <w:rsid w:val="00AE43F3"/>
    <w:rsid w:val="00AE5912"/>
    <w:rsid w:val="00AE6152"/>
    <w:rsid w:val="00AE751F"/>
    <w:rsid w:val="00AE761E"/>
    <w:rsid w:val="00AF0928"/>
    <w:rsid w:val="00AF0C58"/>
    <w:rsid w:val="00AF1683"/>
    <w:rsid w:val="00AF2573"/>
    <w:rsid w:val="00AF298B"/>
    <w:rsid w:val="00AF2BCC"/>
    <w:rsid w:val="00AF2D3E"/>
    <w:rsid w:val="00AF2DA6"/>
    <w:rsid w:val="00AF2EC2"/>
    <w:rsid w:val="00AF3215"/>
    <w:rsid w:val="00AF3256"/>
    <w:rsid w:val="00AF330C"/>
    <w:rsid w:val="00AF39FD"/>
    <w:rsid w:val="00AF3A51"/>
    <w:rsid w:val="00AF48F8"/>
    <w:rsid w:val="00AF50FD"/>
    <w:rsid w:val="00AF53DC"/>
    <w:rsid w:val="00AF5A12"/>
    <w:rsid w:val="00AF5A2F"/>
    <w:rsid w:val="00AF5B27"/>
    <w:rsid w:val="00AF66E4"/>
    <w:rsid w:val="00AF7040"/>
    <w:rsid w:val="00AF7A94"/>
    <w:rsid w:val="00B00265"/>
    <w:rsid w:val="00B01A86"/>
    <w:rsid w:val="00B03163"/>
    <w:rsid w:val="00B037DC"/>
    <w:rsid w:val="00B04ACF"/>
    <w:rsid w:val="00B05196"/>
    <w:rsid w:val="00B051B4"/>
    <w:rsid w:val="00B0642C"/>
    <w:rsid w:val="00B06591"/>
    <w:rsid w:val="00B06A3E"/>
    <w:rsid w:val="00B07610"/>
    <w:rsid w:val="00B115E5"/>
    <w:rsid w:val="00B11668"/>
    <w:rsid w:val="00B11B76"/>
    <w:rsid w:val="00B12634"/>
    <w:rsid w:val="00B148DC"/>
    <w:rsid w:val="00B14E0B"/>
    <w:rsid w:val="00B156AD"/>
    <w:rsid w:val="00B1596C"/>
    <w:rsid w:val="00B17005"/>
    <w:rsid w:val="00B177E0"/>
    <w:rsid w:val="00B178CF"/>
    <w:rsid w:val="00B17BB8"/>
    <w:rsid w:val="00B2050D"/>
    <w:rsid w:val="00B21DD9"/>
    <w:rsid w:val="00B228F1"/>
    <w:rsid w:val="00B25419"/>
    <w:rsid w:val="00B25DAE"/>
    <w:rsid w:val="00B26302"/>
    <w:rsid w:val="00B26DC9"/>
    <w:rsid w:val="00B314BA"/>
    <w:rsid w:val="00B328D2"/>
    <w:rsid w:val="00B32D25"/>
    <w:rsid w:val="00B34C27"/>
    <w:rsid w:val="00B35157"/>
    <w:rsid w:val="00B3537C"/>
    <w:rsid w:val="00B36C34"/>
    <w:rsid w:val="00B403B3"/>
    <w:rsid w:val="00B4097B"/>
    <w:rsid w:val="00B40E9E"/>
    <w:rsid w:val="00B40FBB"/>
    <w:rsid w:val="00B414EB"/>
    <w:rsid w:val="00B41C05"/>
    <w:rsid w:val="00B42AE6"/>
    <w:rsid w:val="00B42EC8"/>
    <w:rsid w:val="00B432F9"/>
    <w:rsid w:val="00B43659"/>
    <w:rsid w:val="00B43A55"/>
    <w:rsid w:val="00B43B36"/>
    <w:rsid w:val="00B4405B"/>
    <w:rsid w:val="00B44072"/>
    <w:rsid w:val="00B44918"/>
    <w:rsid w:val="00B450DA"/>
    <w:rsid w:val="00B46B64"/>
    <w:rsid w:val="00B47D41"/>
    <w:rsid w:val="00B50006"/>
    <w:rsid w:val="00B502B1"/>
    <w:rsid w:val="00B50581"/>
    <w:rsid w:val="00B50CE6"/>
    <w:rsid w:val="00B50D37"/>
    <w:rsid w:val="00B50D9D"/>
    <w:rsid w:val="00B51B7F"/>
    <w:rsid w:val="00B51EE4"/>
    <w:rsid w:val="00B51F5D"/>
    <w:rsid w:val="00B52A05"/>
    <w:rsid w:val="00B53355"/>
    <w:rsid w:val="00B53B0C"/>
    <w:rsid w:val="00B54954"/>
    <w:rsid w:val="00B54A60"/>
    <w:rsid w:val="00B54E69"/>
    <w:rsid w:val="00B5529C"/>
    <w:rsid w:val="00B55932"/>
    <w:rsid w:val="00B55AEA"/>
    <w:rsid w:val="00B55C20"/>
    <w:rsid w:val="00B55CC7"/>
    <w:rsid w:val="00B55FA0"/>
    <w:rsid w:val="00B5662F"/>
    <w:rsid w:val="00B56644"/>
    <w:rsid w:val="00B56E11"/>
    <w:rsid w:val="00B579B9"/>
    <w:rsid w:val="00B60188"/>
    <w:rsid w:val="00B60867"/>
    <w:rsid w:val="00B60CAE"/>
    <w:rsid w:val="00B61343"/>
    <w:rsid w:val="00B61856"/>
    <w:rsid w:val="00B63490"/>
    <w:rsid w:val="00B64234"/>
    <w:rsid w:val="00B6459B"/>
    <w:rsid w:val="00B65696"/>
    <w:rsid w:val="00B65DF1"/>
    <w:rsid w:val="00B66446"/>
    <w:rsid w:val="00B66653"/>
    <w:rsid w:val="00B66E4F"/>
    <w:rsid w:val="00B676C3"/>
    <w:rsid w:val="00B70940"/>
    <w:rsid w:val="00B7178C"/>
    <w:rsid w:val="00B71A6E"/>
    <w:rsid w:val="00B71BFD"/>
    <w:rsid w:val="00B71DC8"/>
    <w:rsid w:val="00B7277B"/>
    <w:rsid w:val="00B728C8"/>
    <w:rsid w:val="00B735E3"/>
    <w:rsid w:val="00B73D81"/>
    <w:rsid w:val="00B740C7"/>
    <w:rsid w:val="00B74283"/>
    <w:rsid w:val="00B74CB5"/>
    <w:rsid w:val="00B74E2E"/>
    <w:rsid w:val="00B7616E"/>
    <w:rsid w:val="00B76E06"/>
    <w:rsid w:val="00B76F7A"/>
    <w:rsid w:val="00B7758C"/>
    <w:rsid w:val="00B7782D"/>
    <w:rsid w:val="00B80602"/>
    <w:rsid w:val="00B811C7"/>
    <w:rsid w:val="00B819D3"/>
    <w:rsid w:val="00B81F2E"/>
    <w:rsid w:val="00B82184"/>
    <w:rsid w:val="00B8221A"/>
    <w:rsid w:val="00B83132"/>
    <w:rsid w:val="00B84481"/>
    <w:rsid w:val="00B844DF"/>
    <w:rsid w:val="00B854A2"/>
    <w:rsid w:val="00B85D01"/>
    <w:rsid w:val="00B865A1"/>
    <w:rsid w:val="00B86C68"/>
    <w:rsid w:val="00B87318"/>
    <w:rsid w:val="00B901A1"/>
    <w:rsid w:val="00B90971"/>
    <w:rsid w:val="00B91405"/>
    <w:rsid w:val="00B91778"/>
    <w:rsid w:val="00B91AF4"/>
    <w:rsid w:val="00B91D6B"/>
    <w:rsid w:val="00B91E6F"/>
    <w:rsid w:val="00B929A9"/>
    <w:rsid w:val="00B92AF5"/>
    <w:rsid w:val="00B93C3B"/>
    <w:rsid w:val="00B94757"/>
    <w:rsid w:val="00B95365"/>
    <w:rsid w:val="00B95A7F"/>
    <w:rsid w:val="00B95B27"/>
    <w:rsid w:val="00B95BC6"/>
    <w:rsid w:val="00B96398"/>
    <w:rsid w:val="00B972F7"/>
    <w:rsid w:val="00BA01FC"/>
    <w:rsid w:val="00BA09B2"/>
    <w:rsid w:val="00BA09F9"/>
    <w:rsid w:val="00BA1472"/>
    <w:rsid w:val="00BA18C8"/>
    <w:rsid w:val="00BA1CBB"/>
    <w:rsid w:val="00BA2066"/>
    <w:rsid w:val="00BA2BA8"/>
    <w:rsid w:val="00BA32B1"/>
    <w:rsid w:val="00BA4257"/>
    <w:rsid w:val="00BA5C89"/>
    <w:rsid w:val="00BA68BE"/>
    <w:rsid w:val="00BA6A8F"/>
    <w:rsid w:val="00BA6A9A"/>
    <w:rsid w:val="00BA773D"/>
    <w:rsid w:val="00BA7EF9"/>
    <w:rsid w:val="00BB06B9"/>
    <w:rsid w:val="00BB07EE"/>
    <w:rsid w:val="00BB13CF"/>
    <w:rsid w:val="00BB1B7F"/>
    <w:rsid w:val="00BB2BF8"/>
    <w:rsid w:val="00BB3666"/>
    <w:rsid w:val="00BB5398"/>
    <w:rsid w:val="00BB5EFA"/>
    <w:rsid w:val="00BB7588"/>
    <w:rsid w:val="00BB78BB"/>
    <w:rsid w:val="00BC006F"/>
    <w:rsid w:val="00BC073A"/>
    <w:rsid w:val="00BC1041"/>
    <w:rsid w:val="00BC1172"/>
    <w:rsid w:val="00BC16D9"/>
    <w:rsid w:val="00BC3DEF"/>
    <w:rsid w:val="00BC4150"/>
    <w:rsid w:val="00BC4910"/>
    <w:rsid w:val="00BC5A09"/>
    <w:rsid w:val="00BC6456"/>
    <w:rsid w:val="00BC6F8E"/>
    <w:rsid w:val="00BC6F9B"/>
    <w:rsid w:val="00BC7E7C"/>
    <w:rsid w:val="00BD05DC"/>
    <w:rsid w:val="00BD06A5"/>
    <w:rsid w:val="00BD0B3C"/>
    <w:rsid w:val="00BD1187"/>
    <w:rsid w:val="00BD1ED8"/>
    <w:rsid w:val="00BD22DB"/>
    <w:rsid w:val="00BD2A7F"/>
    <w:rsid w:val="00BD2D40"/>
    <w:rsid w:val="00BD4981"/>
    <w:rsid w:val="00BD5C7B"/>
    <w:rsid w:val="00BD5DEA"/>
    <w:rsid w:val="00BD61AB"/>
    <w:rsid w:val="00BD64DD"/>
    <w:rsid w:val="00BD6DC9"/>
    <w:rsid w:val="00BD7657"/>
    <w:rsid w:val="00BE0A39"/>
    <w:rsid w:val="00BE1850"/>
    <w:rsid w:val="00BE1C26"/>
    <w:rsid w:val="00BE26A8"/>
    <w:rsid w:val="00BE2D1E"/>
    <w:rsid w:val="00BE30FA"/>
    <w:rsid w:val="00BE3545"/>
    <w:rsid w:val="00BE3C7D"/>
    <w:rsid w:val="00BE3DA6"/>
    <w:rsid w:val="00BE40C7"/>
    <w:rsid w:val="00BE4159"/>
    <w:rsid w:val="00BE552F"/>
    <w:rsid w:val="00BE5E58"/>
    <w:rsid w:val="00BE6381"/>
    <w:rsid w:val="00BE652F"/>
    <w:rsid w:val="00BE6672"/>
    <w:rsid w:val="00BE6AC1"/>
    <w:rsid w:val="00BE73A7"/>
    <w:rsid w:val="00BF03B8"/>
    <w:rsid w:val="00BF05C9"/>
    <w:rsid w:val="00BF237E"/>
    <w:rsid w:val="00BF2C3F"/>
    <w:rsid w:val="00BF3C6F"/>
    <w:rsid w:val="00BF52BF"/>
    <w:rsid w:val="00BF59FF"/>
    <w:rsid w:val="00BF5B09"/>
    <w:rsid w:val="00BF6294"/>
    <w:rsid w:val="00BF7861"/>
    <w:rsid w:val="00C002AA"/>
    <w:rsid w:val="00C00851"/>
    <w:rsid w:val="00C00B14"/>
    <w:rsid w:val="00C01096"/>
    <w:rsid w:val="00C01D1E"/>
    <w:rsid w:val="00C03FB2"/>
    <w:rsid w:val="00C043DE"/>
    <w:rsid w:val="00C07217"/>
    <w:rsid w:val="00C07789"/>
    <w:rsid w:val="00C07E09"/>
    <w:rsid w:val="00C10B1D"/>
    <w:rsid w:val="00C10D4E"/>
    <w:rsid w:val="00C10F65"/>
    <w:rsid w:val="00C114EB"/>
    <w:rsid w:val="00C1160E"/>
    <w:rsid w:val="00C117E0"/>
    <w:rsid w:val="00C11C5D"/>
    <w:rsid w:val="00C122A3"/>
    <w:rsid w:val="00C1240F"/>
    <w:rsid w:val="00C13A55"/>
    <w:rsid w:val="00C13F5A"/>
    <w:rsid w:val="00C206E9"/>
    <w:rsid w:val="00C213D4"/>
    <w:rsid w:val="00C21408"/>
    <w:rsid w:val="00C21ED0"/>
    <w:rsid w:val="00C21ED2"/>
    <w:rsid w:val="00C228ED"/>
    <w:rsid w:val="00C22C68"/>
    <w:rsid w:val="00C23443"/>
    <w:rsid w:val="00C234E9"/>
    <w:rsid w:val="00C234EA"/>
    <w:rsid w:val="00C25961"/>
    <w:rsid w:val="00C2709F"/>
    <w:rsid w:val="00C27AB0"/>
    <w:rsid w:val="00C27E9A"/>
    <w:rsid w:val="00C302F2"/>
    <w:rsid w:val="00C309AD"/>
    <w:rsid w:val="00C30E08"/>
    <w:rsid w:val="00C31B5A"/>
    <w:rsid w:val="00C321C5"/>
    <w:rsid w:val="00C3249A"/>
    <w:rsid w:val="00C32DB2"/>
    <w:rsid w:val="00C33184"/>
    <w:rsid w:val="00C3379A"/>
    <w:rsid w:val="00C338D0"/>
    <w:rsid w:val="00C342FF"/>
    <w:rsid w:val="00C34A34"/>
    <w:rsid w:val="00C376CE"/>
    <w:rsid w:val="00C37805"/>
    <w:rsid w:val="00C37E95"/>
    <w:rsid w:val="00C37FA5"/>
    <w:rsid w:val="00C4015E"/>
    <w:rsid w:val="00C412B5"/>
    <w:rsid w:val="00C41DCF"/>
    <w:rsid w:val="00C440EE"/>
    <w:rsid w:val="00C44E39"/>
    <w:rsid w:val="00C45605"/>
    <w:rsid w:val="00C46184"/>
    <w:rsid w:val="00C47B6F"/>
    <w:rsid w:val="00C50833"/>
    <w:rsid w:val="00C5152A"/>
    <w:rsid w:val="00C546BB"/>
    <w:rsid w:val="00C54905"/>
    <w:rsid w:val="00C54D56"/>
    <w:rsid w:val="00C550F6"/>
    <w:rsid w:val="00C5562F"/>
    <w:rsid w:val="00C573D2"/>
    <w:rsid w:val="00C57777"/>
    <w:rsid w:val="00C57E84"/>
    <w:rsid w:val="00C60372"/>
    <w:rsid w:val="00C609E8"/>
    <w:rsid w:val="00C60E10"/>
    <w:rsid w:val="00C61D13"/>
    <w:rsid w:val="00C620EE"/>
    <w:rsid w:val="00C62B0F"/>
    <w:rsid w:val="00C65ABC"/>
    <w:rsid w:val="00C666F4"/>
    <w:rsid w:val="00C67055"/>
    <w:rsid w:val="00C674B2"/>
    <w:rsid w:val="00C67A1F"/>
    <w:rsid w:val="00C67AB6"/>
    <w:rsid w:val="00C707FF"/>
    <w:rsid w:val="00C70F8C"/>
    <w:rsid w:val="00C723DB"/>
    <w:rsid w:val="00C7269B"/>
    <w:rsid w:val="00C72D8A"/>
    <w:rsid w:val="00C72FFD"/>
    <w:rsid w:val="00C75F63"/>
    <w:rsid w:val="00C76044"/>
    <w:rsid w:val="00C76A07"/>
    <w:rsid w:val="00C76D37"/>
    <w:rsid w:val="00C76E22"/>
    <w:rsid w:val="00C77252"/>
    <w:rsid w:val="00C77661"/>
    <w:rsid w:val="00C7797C"/>
    <w:rsid w:val="00C77F22"/>
    <w:rsid w:val="00C80073"/>
    <w:rsid w:val="00C80671"/>
    <w:rsid w:val="00C81D17"/>
    <w:rsid w:val="00C82E8A"/>
    <w:rsid w:val="00C831B2"/>
    <w:rsid w:val="00C8403C"/>
    <w:rsid w:val="00C84515"/>
    <w:rsid w:val="00C84674"/>
    <w:rsid w:val="00C85323"/>
    <w:rsid w:val="00C8572E"/>
    <w:rsid w:val="00C858A7"/>
    <w:rsid w:val="00C86637"/>
    <w:rsid w:val="00C8676D"/>
    <w:rsid w:val="00C9075E"/>
    <w:rsid w:val="00C91CF0"/>
    <w:rsid w:val="00C9208D"/>
    <w:rsid w:val="00C92166"/>
    <w:rsid w:val="00C92BAA"/>
    <w:rsid w:val="00C939CC"/>
    <w:rsid w:val="00C93EBF"/>
    <w:rsid w:val="00C940CC"/>
    <w:rsid w:val="00C94B98"/>
    <w:rsid w:val="00C94BFF"/>
    <w:rsid w:val="00C9512F"/>
    <w:rsid w:val="00C95C27"/>
    <w:rsid w:val="00C97D28"/>
    <w:rsid w:val="00C97FE8"/>
    <w:rsid w:val="00CA01CE"/>
    <w:rsid w:val="00CA1EDD"/>
    <w:rsid w:val="00CA3610"/>
    <w:rsid w:val="00CB082E"/>
    <w:rsid w:val="00CB1759"/>
    <w:rsid w:val="00CB1DD5"/>
    <w:rsid w:val="00CB202F"/>
    <w:rsid w:val="00CB20C1"/>
    <w:rsid w:val="00CB22A3"/>
    <w:rsid w:val="00CB2B00"/>
    <w:rsid w:val="00CB2E19"/>
    <w:rsid w:val="00CB443C"/>
    <w:rsid w:val="00CB4DCB"/>
    <w:rsid w:val="00CB5BBA"/>
    <w:rsid w:val="00CB6C4B"/>
    <w:rsid w:val="00CB6E45"/>
    <w:rsid w:val="00CB77CA"/>
    <w:rsid w:val="00CC0402"/>
    <w:rsid w:val="00CC0448"/>
    <w:rsid w:val="00CC09DC"/>
    <w:rsid w:val="00CC1031"/>
    <w:rsid w:val="00CC18E8"/>
    <w:rsid w:val="00CC2639"/>
    <w:rsid w:val="00CC2761"/>
    <w:rsid w:val="00CC30E0"/>
    <w:rsid w:val="00CC3732"/>
    <w:rsid w:val="00CC4F81"/>
    <w:rsid w:val="00CC588C"/>
    <w:rsid w:val="00CC610B"/>
    <w:rsid w:val="00CC71D5"/>
    <w:rsid w:val="00CC73C8"/>
    <w:rsid w:val="00CC7A65"/>
    <w:rsid w:val="00CD03CB"/>
    <w:rsid w:val="00CD068E"/>
    <w:rsid w:val="00CD11E7"/>
    <w:rsid w:val="00CD1509"/>
    <w:rsid w:val="00CD1A6D"/>
    <w:rsid w:val="00CD3F34"/>
    <w:rsid w:val="00CD4617"/>
    <w:rsid w:val="00CD55EC"/>
    <w:rsid w:val="00CD5F64"/>
    <w:rsid w:val="00CD74EA"/>
    <w:rsid w:val="00CE0A83"/>
    <w:rsid w:val="00CE1327"/>
    <w:rsid w:val="00CE2013"/>
    <w:rsid w:val="00CE21A4"/>
    <w:rsid w:val="00CE2A2F"/>
    <w:rsid w:val="00CE2B10"/>
    <w:rsid w:val="00CE45EF"/>
    <w:rsid w:val="00CE5B2A"/>
    <w:rsid w:val="00CE607A"/>
    <w:rsid w:val="00CE7F08"/>
    <w:rsid w:val="00CF0A27"/>
    <w:rsid w:val="00CF1559"/>
    <w:rsid w:val="00CF31AA"/>
    <w:rsid w:val="00CF383B"/>
    <w:rsid w:val="00CF3AD9"/>
    <w:rsid w:val="00CF3F74"/>
    <w:rsid w:val="00CF4562"/>
    <w:rsid w:val="00CF4AE1"/>
    <w:rsid w:val="00CF50FE"/>
    <w:rsid w:val="00CF56F0"/>
    <w:rsid w:val="00CF5AC9"/>
    <w:rsid w:val="00CF607B"/>
    <w:rsid w:val="00CF65C7"/>
    <w:rsid w:val="00CF7045"/>
    <w:rsid w:val="00CF72FD"/>
    <w:rsid w:val="00CF7417"/>
    <w:rsid w:val="00CF795A"/>
    <w:rsid w:val="00CF7C6F"/>
    <w:rsid w:val="00D007E6"/>
    <w:rsid w:val="00D01111"/>
    <w:rsid w:val="00D01715"/>
    <w:rsid w:val="00D0236F"/>
    <w:rsid w:val="00D029C3"/>
    <w:rsid w:val="00D042EA"/>
    <w:rsid w:val="00D0498D"/>
    <w:rsid w:val="00D05E25"/>
    <w:rsid w:val="00D06BA9"/>
    <w:rsid w:val="00D06D27"/>
    <w:rsid w:val="00D073F3"/>
    <w:rsid w:val="00D10065"/>
    <w:rsid w:val="00D101D8"/>
    <w:rsid w:val="00D1023B"/>
    <w:rsid w:val="00D10749"/>
    <w:rsid w:val="00D10D6E"/>
    <w:rsid w:val="00D11081"/>
    <w:rsid w:val="00D11333"/>
    <w:rsid w:val="00D11902"/>
    <w:rsid w:val="00D12AF6"/>
    <w:rsid w:val="00D12B06"/>
    <w:rsid w:val="00D12D4D"/>
    <w:rsid w:val="00D1352A"/>
    <w:rsid w:val="00D141DC"/>
    <w:rsid w:val="00D14729"/>
    <w:rsid w:val="00D14762"/>
    <w:rsid w:val="00D1499D"/>
    <w:rsid w:val="00D14D21"/>
    <w:rsid w:val="00D15272"/>
    <w:rsid w:val="00D161DF"/>
    <w:rsid w:val="00D1671C"/>
    <w:rsid w:val="00D20A88"/>
    <w:rsid w:val="00D21072"/>
    <w:rsid w:val="00D216E2"/>
    <w:rsid w:val="00D218AC"/>
    <w:rsid w:val="00D219EE"/>
    <w:rsid w:val="00D228C2"/>
    <w:rsid w:val="00D22AE4"/>
    <w:rsid w:val="00D23C0F"/>
    <w:rsid w:val="00D24229"/>
    <w:rsid w:val="00D25530"/>
    <w:rsid w:val="00D256C0"/>
    <w:rsid w:val="00D26147"/>
    <w:rsid w:val="00D26AC3"/>
    <w:rsid w:val="00D271AC"/>
    <w:rsid w:val="00D27801"/>
    <w:rsid w:val="00D27DC1"/>
    <w:rsid w:val="00D31C7D"/>
    <w:rsid w:val="00D31CF4"/>
    <w:rsid w:val="00D3434C"/>
    <w:rsid w:val="00D35850"/>
    <w:rsid w:val="00D360E9"/>
    <w:rsid w:val="00D36F20"/>
    <w:rsid w:val="00D37242"/>
    <w:rsid w:val="00D374C7"/>
    <w:rsid w:val="00D37587"/>
    <w:rsid w:val="00D37770"/>
    <w:rsid w:val="00D40578"/>
    <w:rsid w:val="00D40CCE"/>
    <w:rsid w:val="00D40CE4"/>
    <w:rsid w:val="00D4169F"/>
    <w:rsid w:val="00D4190C"/>
    <w:rsid w:val="00D436DD"/>
    <w:rsid w:val="00D4486F"/>
    <w:rsid w:val="00D4563E"/>
    <w:rsid w:val="00D5204E"/>
    <w:rsid w:val="00D525DD"/>
    <w:rsid w:val="00D539FF"/>
    <w:rsid w:val="00D54028"/>
    <w:rsid w:val="00D540DD"/>
    <w:rsid w:val="00D552DD"/>
    <w:rsid w:val="00D55391"/>
    <w:rsid w:val="00D55923"/>
    <w:rsid w:val="00D55BBF"/>
    <w:rsid w:val="00D603E1"/>
    <w:rsid w:val="00D60898"/>
    <w:rsid w:val="00D60B9B"/>
    <w:rsid w:val="00D611D3"/>
    <w:rsid w:val="00D62208"/>
    <w:rsid w:val="00D62D88"/>
    <w:rsid w:val="00D636C8"/>
    <w:rsid w:val="00D63A61"/>
    <w:rsid w:val="00D644BC"/>
    <w:rsid w:val="00D64D5A"/>
    <w:rsid w:val="00D64EC8"/>
    <w:rsid w:val="00D64F25"/>
    <w:rsid w:val="00D656F7"/>
    <w:rsid w:val="00D658EA"/>
    <w:rsid w:val="00D6637E"/>
    <w:rsid w:val="00D6656F"/>
    <w:rsid w:val="00D667C1"/>
    <w:rsid w:val="00D670F4"/>
    <w:rsid w:val="00D70478"/>
    <w:rsid w:val="00D71B71"/>
    <w:rsid w:val="00D71C07"/>
    <w:rsid w:val="00D71EB3"/>
    <w:rsid w:val="00D72A35"/>
    <w:rsid w:val="00D74709"/>
    <w:rsid w:val="00D74897"/>
    <w:rsid w:val="00D74A17"/>
    <w:rsid w:val="00D75994"/>
    <w:rsid w:val="00D75B6B"/>
    <w:rsid w:val="00D76ECF"/>
    <w:rsid w:val="00D81495"/>
    <w:rsid w:val="00D817A7"/>
    <w:rsid w:val="00D81DF3"/>
    <w:rsid w:val="00D83673"/>
    <w:rsid w:val="00D8378C"/>
    <w:rsid w:val="00D844BA"/>
    <w:rsid w:val="00D849BD"/>
    <w:rsid w:val="00D84A1C"/>
    <w:rsid w:val="00D85519"/>
    <w:rsid w:val="00D859E3"/>
    <w:rsid w:val="00D8605D"/>
    <w:rsid w:val="00D87C6A"/>
    <w:rsid w:val="00D906B4"/>
    <w:rsid w:val="00D90B5B"/>
    <w:rsid w:val="00D91100"/>
    <w:rsid w:val="00D913DE"/>
    <w:rsid w:val="00D91935"/>
    <w:rsid w:val="00D9207E"/>
    <w:rsid w:val="00D925B1"/>
    <w:rsid w:val="00D932F6"/>
    <w:rsid w:val="00D9399A"/>
    <w:rsid w:val="00D95809"/>
    <w:rsid w:val="00D9597B"/>
    <w:rsid w:val="00D96549"/>
    <w:rsid w:val="00D970AB"/>
    <w:rsid w:val="00D9773B"/>
    <w:rsid w:val="00DA0CC3"/>
    <w:rsid w:val="00DA1A43"/>
    <w:rsid w:val="00DA21BE"/>
    <w:rsid w:val="00DA21CC"/>
    <w:rsid w:val="00DA2917"/>
    <w:rsid w:val="00DA2F88"/>
    <w:rsid w:val="00DA529C"/>
    <w:rsid w:val="00DA5382"/>
    <w:rsid w:val="00DA5541"/>
    <w:rsid w:val="00DA6630"/>
    <w:rsid w:val="00DA7021"/>
    <w:rsid w:val="00DB2180"/>
    <w:rsid w:val="00DB2D27"/>
    <w:rsid w:val="00DB3C35"/>
    <w:rsid w:val="00DB5B74"/>
    <w:rsid w:val="00DC0261"/>
    <w:rsid w:val="00DC0AFA"/>
    <w:rsid w:val="00DC242D"/>
    <w:rsid w:val="00DC33FA"/>
    <w:rsid w:val="00DC3630"/>
    <w:rsid w:val="00DC4098"/>
    <w:rsid w:val="00DC40F8"/>
    <w:rsid w:val="00DC49EA"/>
    <w:rsid w:val="00DC4A92"/>
    <w:rsid w:val="00DC4EFA"/>
    <w:rsid w:val="00DC5BB1"/>
    <w:rsid w:val="00DC7A44"/>
    <w:rsid w:val="00DD0952"/>
    <w:rsid w:val="00DD29E7"/>
    <w:rsid w:val="00DD2E5F"/>
    <w:rsid w:val="00DD4036"/>
    <w:rsid w:val="00DD40FC"/>
    <w:rsid w:val="00DD50EC"/>
    <w:rsid w:val="00DD5E2A"/>
    <w:rsid w:val="00DD6EA5"/>
    <w:rsid w:val="00DD7AB1"/>
    <w:rsid w:val="00DE14F0"/>
    <w:rsid w:val="00DE1D58"/>
    <w:rsid w:val="00DE25A0"/>
    <w:rsid w:val="00DE3463"/>
    <w:rsid w:val="00DE515A"/>
    <w:rsid w:val="00DE59C3"/>
    <w:rsid w:val="00DE6112"/>
    <w:rsid w:val="00DE6238"/>
    <w:rsid w:val="00DE6B83"/>
    <w:rsid w:val="00DE7191"/>
    <w:rsid w:val="00DF02E9"/>
    <w:rsid w:val="00DF0641"/>
    <w:rsid w:val="00DF20C4"/>
    <w:rsid w:val="00DF266E"/>
    <w:rsid w:val="00DF2DA3"/>
    <w:rsid w:val="00DF302B"/>
    <w:rsid w:val="00DF3A47"/>
    <w:rsid w:val="00DF3FB9"/>
    <w:rsid w:val="00DF4DFD"/>
    <w:rsid w:val="00DF5A08"/>
    <w:rsid w:val="00DF5B56"/>
    <w:rsid w:val="00DF7464"/>
    <w:rsid w:val="00E00679"/>
    <w:rsid w:val="00E00736"/>
    <w:rsid w:val="00E00A31"/>
    <w:rsid w:val="00E00C51"/>
    <w:rsid w:val="00E019B0"/>
    <w:rsid w:val="00E022D6"/>
    <w:rsid w:val="00E029F4"/>
    <w:rsid w:val="00E02FE0"/>
    <w:rsid w:val="00E04AC5"/>
    <w:rsid w:val="00E04FD0"/>
    <w:rsid w:val="00E05966"/>
    <w:rsid w:val="00E05A28"/>
    <w:rsid w:val="00E05BC6"/>
    <w:rsid w:val="00E069BC"/>
    <w:rsid w:val="00E075C5"/>
    <w:rsid w:val="00E11DA9"/>
    <w:rsid w:val="00E1303F"/>
    <w:rsid w:val="00E14CC0"/>
    <w:rsid w:val="00E14E57"/>
    <w:rsid w:val="00E15429"/>
    <w:rsid w:val="00E16C3D"/>
    <w:rsid w:val="00E16C6E"/>
    <w:rsid w:val="00E16D96"/>
    <w:rsid w:val="00E17992"/>
    <w:rsid w:val="00E17A23"/>
    <w:rsid w:val="00E200E4"/>
    <w:rsid w:val="00E202C7"/>
    <w:rsid w:val="00E202DF"/>
    <w:rsid w:val="00E2053F"/>
    <w:rsid w:val="00E20C37"/>
    <w:rsid w:val="00E2187B"/>
    <w:rsid w:val="00E21880"/>
    <w:rsid w:val="00E2199C"/>
    <w:rsid w:val="00E21E5A"/>
    <w:rsid w:val="00E24840"/>
    <w:rsid w:val="00E25372"/>
    <w:rsid w:val="00E25DF9"/>
    <w:rsid w:val="00E27782"/>
    <w:rsid w:val="00E27AAB"/>
    <w:rsid w:val="00E30A92"/>
    <w:rsid w:val="00E30FC1"/>
    <w:rsid w:val="00E3255B"/>
    <w:rsid w:val="00E342A4"/>
    <w:rsid w:val="00E37114"/>
    <w:rsid w:val="00E3713C"/>
    <w:rsid w:val="00E375ED"/>
    <w:rsid w:val="00E40084"/>
    <w:rsid w:val="00E4039F"/>
    <w:rsid w:val="00E407CD"/>
    <w:rsid w:val="00E40984"/>
    <w:rsid w:val="00E41011"/>
    <w:rsid w:val="00E41138"/>
    <w:rsid w:val="00E41364"/>
    <w:rsid w:val="00E42128"/>
    <w:rsid w:val="00E421E2"/>
    <w:rsid w:val="00E42400"/>
    <w:rsid w:val="00E42A6D"/>
    <w:rsid w:val="00E439E0"/>
    <w:rsid w:val="00E43E37"/>
    <w:rsid w:val="00E44FEE"/>
    <w:rsid w:val="00E466E2"/>
    <w:rsid w:val="00E46838"/>
    <w:rsid w:val="00E471A8"/>
    <w:rsid w:val="00E477FA"/>
    <w:rsid w:val="00E4780E"/>
    <w:rsid w:val="00E50DE4"/>
    <w:rsid w:val="00E51542"/>
    <w:rsid w:val="00E523C8"/>
    <w:rsid w:val="00E5400E"/>
    <w:rsid w:val="00E5479A"/>
    <w:rsid w:val="00E55C8A"/>
    <w:rsid w:val="00E565A3"/>
    <w:rsid w:val="00E56691"/>
    <w:rsid w:val="00E574AB"/>
    <w:rsid w:val="00E57A41"/>
    <w:rsid w:val="00E613FE"/>
    <w:rsid w:val="00E61A7E"/>
    <w:rsid w:val="00E62527"/>
    <w:rsid w:val="00E626B0"/>
    <w:rsid w:val="00E626E8"/>
    <w:rsid w:val="00E64D53"/>
    <w:rsid w:val="00E65235"/>
    <w:rsid w:val="00E65384"/>
    <w:rsid w:val="00E654D6"/>
    <w:rsid w:val="00E67899"/>
    <w:rsid w:val="00E67910"/>
    <w:rsid w:val="00E70B3C"/>
    <w:rsid w:val="00E71350"/>
    <w:rsid w:val="00E71FDE"/>
    <w:rsid w:val="00E7310C"/>
    <w:rsid w:val="00E73A6B"/>
    <w:rsid w:val="00E73E3B"/>
    <w:rsid w:val="00E74577"/>
    <w:rsid w:val="00E74C24"/>
    <w:rsid w:val="00E7663F"/>
    <w:rsid w:val="00E77225"/>
    <w:rsid w:val="00E77FCE"/>
    <w:rsid w:val="00E8019D"/>
    <w:rsid w:val="00E80EEF"/>
    <w:rsid w:val="00E819DD"/>
    <w:rsid w:val="00E822FA"/>
    <w:rsid w:val="00E825F5"/>
    <w:rsid w:val="00E82776"/>
    <w:rsid w:val="00E82B0D"/>
    <w:rsid w:val="00E84E4D"/>
    <w:rsid w:val="00E86138"/>
    <w:rsid w:val="00E87BCB"/>
    <w:rsid w:val="00E87C0E"/>
    <w:rsid w:val="00E87E16"/>
    <w:rsid w:val="00E9084E"/>
    <w:rsid w:val="00E90B25"/>
    <w:rsid w:val="00E91095"/>
    <w:rsid w:val="00E91A87"/>
    <w:rsid w:val="00E92582"/>
    <w:rsid w:val="00E92CC0"/>
    <w:rsid w:val="00E93B69"/>
    <w:rsid w:val="00E94954"/>
    <w:rsid w:val="00E95646"/>
    <w:rsid w:val="00E95C03"/>
    <w:rsid w:val="00E95CD5"/>
    <w:rsid w:val="00E96B98"/>
    <w:rsid w:val="00E96D93"/>
    <w:rsid w:val="00E975E4"/>
    <w:rsid w:val="00E97621"/>
    <w:rsid w:val="00EA0A39"/>
    <w:rsid w:val="00EA132D"/>
    <w:rsid w:val="00EA17A1"/>
    <w:rsid w:val="00EA2143"/>
    <w:rsid w:val="00EA32A2"/>
    <w:rsid w:val="00EA4591"/>
    <w:rsid w:val="00EA528F"/>
    <w:rsid w:val="00EA52A6"/>
    <w:rsid w:val="00EA5CBB"/>
    <w:rsid w:val="00EA71C4"/>
    <w:rsid w:val="00EA71E6"/>
    <w:rsid w:val="00EA773C"/>
    <w:rsid w:val="00EA7CB5"/>
    <w:rsid w:val="00EB0273"/>
    <w:rsid w:val="00EB0F7E"/>
    <w:rsid w:val="00EB2A7C"/>
    <w:rsid w:val="00EB3B26"/>
    <w:rsid w:val="00EB45E1"/>
    <w:rsid w:val="00EB4ED7"/>
    <w:rsid w:val="00EB5C83"/>
    <w:rsid w:val="00EB6560"/>
    <w:rsid w:val="00EB73BB"/>
    <w:rsid w:val="00EB76CB"/>
    <w:rsid w:val="00EC288B"/>
    <w:rsid w:val="00EC4019"/>
    <w:rsid w:val="00EC4E88"/>
    <w:rsid w:val="00EC541E"/>
    <w:rsid w:val="00EC69A3"/>
    <w:rsid w:val="00EC74CD"/>
    <w:rsid w:val="00ED1B1A"/>
    <w:rsid w:val="00ED230E"/>
    <w:rsid w:val="00ED2772"/>
    <w:rsid w:val="00ED31FB"/>
    <w:rsid w:val="00ED4ED0"/>
    <w:rsid w:val="00ED67BE"/>
    <w:rsid w:val="00ED783F"/>
    <w:rsid w:val="00EE004F"/>
    <w:rsid w:val="00EE0C20"/>
    <w:rsid w:val="00EE0E1E"/>
    <w:rsid w:val="00EE1327"/>
    <w:rsid w:val="00EE1E86"/>
    <w:rsid w:val="00EE25CE"/>
    <w:rsid w:val="00EE2A0A"/>
    <w:rsid w:val="00EE2CDA"/>
    <w:rsid w:val="00EE3473"/>
    <w:rsid w:val="00EE3529"/>
    <w:rsid w:val="00EE3746"/>
    <w:rsid w:val="00EE3B8F"/>
    <w:rsid w:val="00EE4052"/>
    <w:rsid w:val="00EE4447"/>
    <w:rsid w:val="00EE46A9"/>
    <w:rsid w:val="00EE49E6"/>
    <w:rsid w:val="00EE5CDE"/>
    <w:rsid w:val="00EE63BD"/>
    <w:rsid w:val="00EE7D2C"/>
    <w:rsid w:val="00EF0CF3"/>
    <w:rsid w:val="00EF13CD"/>
    <w:rsid w:val="00EF16AB"/>
    <w:rsid w:val="00EF1A59"/>
    <w:rsid w:val="00EF3226"/>
    <w:rsid w:val="00EF44E6"/>
    <w:rsid w:val="00EF5308"/>
    <w:rsid w:val="00EF73BB"/>
    <w:rsid w:val="00EF7480"/>
    <w:rsid w:val="00EF79A1"/>
    <w:rsid w:val="00EF7BA0"/>
    <w:rsid w:val="00F0030D"/>
    <w:rsid w:val="00F01302"/>
    <w:rsid w:val="00F013CB"/>
    <w:rsid w:val="00F0151D"/>
    <w:rsid w:val="00F017A3"/>
    <w:rsid w:val="00F01B33"/>
    <w:rsid w:val="00F01D8C"/>
    <w:rsid w:val="00F01D90"/>
    <w:rsid w:val="00F02CD4"/>
    <w:rsid w:val="00F03427"/>
    <w:rsid w:val="00F05154"/>
    <w:rsid w:val="00F052A8"/>
    <w:rsid w:val="00F10DC2"/>
    <w:rsid w:val="00F11DF0"/>
    <w:rsid w:val="00F1222A"/>
    <w:rsid w:val="00F122B9"/>
    <w:rsid w:val="00F13227"/>
    <w:rsid w:val="00F14166"/>
    <w:rsid w:val="00F15379"/>
    <w:rsid w:val="00F15D6F"/>
    <w:rsid w:val="00F168C4"/>
    <w:rsid w:val="00F1695A"/>
    <w:rsid w:val="00F16C31"/>
    <w:rsid w:val="00F21235"/>
    <w:rsid w:val="00F223A0"/>
    <w:rsid w:val="00F225DD"/>
    <w:rsid w:val="00F227BF"/>
    <w:rsid w:val="00F24235"/>
    <w:rsid w:val="00F24CBC"/>
    <w:rsid w:val="00F24CEC"/>
    <w:rsid w:val="00F260CF"/>
    <w:rsid w:val="00F261AB"/>
    <w:rsid w:val="00F26218"/>
    <w:rsid w:val="00F3020F"/>
    <w:rsid w:val="00F3021B"/>
    <w:rsid w:val="00F30488"/>
    <w:rsid w:val="00F31463"/>
    <w:rsid w:val="00F319E8"/>
    <w:rsid w:val="00F31D9D"/>
    <w:rsid w:val="00F31E3A"/>
    <w:rsid w:val="00F33FA0"/>
    <w:rsid w:val="00F342F2"/>
    <w:rsid w:val="00F34542"/>
    <w:rsid w:val="00F34D34"/>
    <w:rsid w:val="00F354C3"/>
    <w:rsid w:val="00F37C2D"/>
    <w:rsid w:val="00F37CF6"/>
    <w:rsid w:val="00F409AD"/>
    <w:rsid w:val="00F40B5A"/>
    <w:rsid w:val="00F41542"/>
    <w:rsid w:val="00F41F91"/>
    <w:rsid w:val="00F424B0"/>
    <w:rsid w:val="00F4350A"/>
    <w:rsid w:val="00F459EA"/>
    <w:rsid w:val="00F45FC9"/>
    <w:rsid w:val="00F4734E"/>
    <w:rsid w:val="00F475AD"/>
    <w:rsid w:val="00F504F2"/>
    <w:rsid w:val="00F511E7"/>
    <w:rsid w:val="00F53296"/>
    <w:rsid w:val="00F53FE8"/>
    <w:rsid w:val="00F54D34"/>
    <w:rsid w:val="00F559D5"/>
    <w:rsid w:val="00F55EA7"/>
    <w:rsid w:val="00F566F8"/>
    <w:rsid w:val="00F56EA4"/>
    <w:rsid w:val="00F57B2D"/>
    <w:rsid w:val="00F60D87"/>
    <w:rsid w:val="00F61980"/>
    <w:rsid w:val="00F61A9E"/>
    <w:rsid w:val="00F62655"/>
    <w:rsid w:val="00F638C4"/>
    <w:rsid w:val="00F64AB1"/>
    <w:rsid w:val="00F64DCC"/>
    <w:rsid w:val="00F6618B"/>
    <w:rsid w:val="00F67C1B"/>
    <w:rsid w:val="00F67C26"/>
    <w:rsid w:val="00F67E93"/>
    <w:rsid w:val="00F700B0"/>
    <w:rsid w:val="00F70328"/>
    <w:rsid w:val="00F7040D"/>
    <w:rsid w:val="00F709AF"/>
    <w:rsid w:val="00F70AE1"/>
    <w:rsid w:val="00F72424"/>
    <w:rsid w:val="00F72A17"/>
    <w:rsid w:val="00F7342D"/>
    <w:rsid w:val="00F7497F"/>
    <w:rsid w:val="00F75F4F"/>
    <w:rsid w:val="00F774CD"/>
    <w:rsid w:val="00F7792D"/>
    <w:rsid w:val="00F80BE7"/>
    <w:rsid w:val="00F8157E"/>
    <w:rsid w:val="00F81EC5"/>
    <w:rsid w:val="00F8274B"/>
    <w:rsid w:val="00F8300F"/>
    <w:rsid w:val="00F840E4"/>
    <w:rsid w:val="00F8428E"/>
    <w:rsid w:val="00F84CE4"/>
    <w:rsid w:val="00F85D8C"/>
    <w:rsid w:val="00F90B03"/>
    <w:rsid w:val="00F912DC"/>
    <w:rsid w:val="00F91D40"/>
    <w:rsid w:val="00F92272"/>
    <w:rsid w:val="00F92483"/>
    <w:rsid w:val="00F92E22"/>
    <w:rsid w:val="00F94283"/>
    <w:rsid w:val="00F94B8A"/>
    <w:rsid w:val="00F95392"/>
    <w:rsid w:val="00F9591F"/>
    <w:rsid w:val="00F968E4"/>
    <w:rsid w:val="00F96FC0"/>
    <w:rsid w:val="00F97043"/>
    <w:rsid w:val="00F974A9"/>
    <w:rsid w:val="00F97569"/>
    <w:rsid w:val="00F97C5B"/>
    <w:rsid w:val="00FA0373"/>
    <w:rsid w:val="00FA11B2"/>
    <w:rsid w:val="00FA1229"/>
    <w:rsid w:val="00FA200E"/>
    <w:rsid w:val="00FA2122"/>
    <w:rsid w:val="00FA29FC"/>
    <w:rsid w:val="00FA2E61"/>
    <w:rsid w:val="00FA3216"/>
    <w:rsid w:val="00FA32D3"/>
    <w:rsid w:val="00FA3DCB"/>
    <w:rsid w:val="00FA4132"/>
    <w:rsid w:val="00FA4550"/>
    <w:rsid w:val="00FA73F8"/>
    <w:rsid w:val="00FB0484"/>
    <w:rsid w:val="00FB0493"/>
    <w:rsid w:val="00FB078C"/>
    <w:rsid w:val="00FB1A0D"/>
    <w:rsid w:val="00FB1BA6"/>
    <w:rsid w:val="00FB3F4C"/>
    <w:rsid w:val="00FB44D1"/>
    <w:rsid w:val="00FB479F"/>
    <w:rsid w:val="00FB47F5"/>
    <w:rsid w:val="00FB505E"/>
    <w:rsid w:val="00FB5381"/>
    <w:rsid w:val="00FB5509"/>
    <w:rsid w:val="00FB5B00"/>
    <w:rsid w:val="00FB5C8E"/>
    <w:rsid w:val="00FB5DD7"/>
    <w:rsid w:val="00FB69E3"/>
    <w:rsid w:val="00FB7209"/>
    <w:rsid w:val="00FC0C5B"/>
    <w:rsid w:val="00FC3539"/>
    <w:rsid w:val="00FC3951"/>
    <w:rsid w:val="00FC3BF5"/>
    <w:rsid w:val="00FC3FD3"/>
    <w:rsid w:val="00FC43B3"/>
    <w:rsid w:val="00FC494F"/>
    <w:rsid w:val="00FC5BBD"/>
    <w:rsid w:val="00FC6A94"/>
    <w:rsid w:val="00FD0465"/>
    <w:rsid w:val="00FD0476"/>
    <w:rsid w:val="00FD06D9"/>
    <w:rsid w:val="00FD0BEC"/>
    <w:rsid w:val="00FD0E13"/>
    <w:rsid w:val="00FD103A"/>
    <w:rsid w:val="00FD296D"/>
    <w:rsid w:val="00FD2C29"/>
    <w:rsid w:val="00FD37AC"/>
    <w:rsid w:val="00FD38D0"/>
    <w:rsid w:val="00FD54AE"/>
    <w:rsid w:val="00FD65C4"/>
    <w:rsid w:val="00FD7AB6"/>
    <w:rsid w:val="00FE090C"/>
    <w:rsid w:val="00FE1A09"/>
    <w:rsid w:val="00FE1A17"/>
    <w:rsid w:val="00FE1C20"/>
    <w:rsid w:val="00FE2E6F"/>
    <w:rsid w:val="00FE3372"/>
    <w:rsid w:val="00FE4773"/>
    <w:rsid w:val="00FE4EBA"/>
    <w:rsid w:val="00FE4F89"/>
    <w:rsid w:val="00FE57BB"/>
    <w:rsid w:val="00FE5C99"/>
    <w:rsid w:val="00FE5FE2"/>
    <w:rsid w:val="00FE61BB"/>
    <w:rsid w:val="00FE6D09"/>
    <w:rsid w:val="00FE73FE"/>
    <w:rsid w:val="00FE75C7"/>
    <w:rsid w:val="00FE7683"/>
    <w:rsid w:val="00FF0510"/>
    <w:rsid w:val="00FF05CA"/>
    <w:rsid w:val="00FF0DB4"/>
    <w:rsid w:val="00FF1523"/>
    <w:rsid w:val="00FF1870"/>
    <w:rsid w:val="00FF1D3C"/>
    <w:rsid w:val="00FF3576"/>
    <w:rsid w:val="00FF3948"/>
    <w:rsid w:val="00FF3EFC"/>
    <w:rsid w:val="00FF439C"/>
    <w:rsid w:val="00FF4C58"/>
    <w:rsid w:val="00FF5783"/>
    <w:rsid w:val="00FF6820"/>
    <w:rsid w:val="00FF6BC2"/>
    <w:rsid w:val="00FF7C4B"/>
    <w:rsid w:val="027500DB"/>
    <w:rsid w:val="04627818"/>
    <w:rsid w:val="06AF5714"/>
    <w:rsid w:val="0A946171"/>
    <w:rsid w:val="0B2A31A7"/>
    <w:rsid w:val="0C85067B"/>
    <w:rsid w:val="0E876576"/>
    <w:rsid w:val="1077362D"/>
    <w:rsid w:val="142D29BC"/>
    <w:rsid w:val="156259DC"/>
    <w:rsid w:val="15DC68D2"/>
    <w:rsid w:val="18376EC9"/>
    <w:rsid w:val="18D03CD6"/>
    <w:rsid w:val="1C50680C"/>
    <w:rsid w:val="1FA3700E"/>
    <w:rsid w:val="22DB2A9E"/>
    <w:rsid w:val="22EF1CC7"/>
    <w:rsid w:val="239100F6"/>
    <w:rsid w:val="253762DB"/>
    <w:rsid w:val="257B232D"/>
    <w:rsid w:val="27A25CF6"/>
    <w:rsid w:val="2A0E07AE"/>
    <w:rsid w:val="2CCC56AD"/>
    <w:rsid w:val="32163040"/>
    <w:rsid w:val="32B830B8"/>
    <w:rsid w:val="33AB1471"/>
    <w:rsid w:val="37674777"/>
    <w:rsid w:val="3768571B"/>
    <w:rsid w:val="38365EC5"/>
    <w:rsid w:val="396D6BF8"/>
    <w:rsid w:val="3D0E6F4B"/>
    <w:rsid w:val="3E381DD2"/>
    <w:rsid w:val="3F6521AF"/>
    <w:rsid w:val="3F6A1A62"/>
    <w:rsid w:val="3FED71FF"/>
    <w:rsid w:val="430112A5"/>
    <w:rsid w:val="438660D8"/>
    <w:rsid w:val="43A91F7B"/>
    <w:rsid w:val="46525ADC"/>
    <w:rsid w:val="46A9721C"/>
    <w:rsid w:val="46E00030"/>
    <w:rsid w:val="485A55A9"/>
    <w:rsid w:val="49A018E7"/>
    <w:rsid w:val="4D01404D"/>
    <w:rsid w:val="4F947A66"/>
    <w:rsid w:val="50220899"/>
    <w:rsid w:val="50E840C5"/>
    <w:rsid w:val="54E46E2C"/>
    <w:rsid w:val="550F6020"/>
    <w:rsid w:val="56106C8D"/>
    <w:rsid w:val="577D7B30"/>
    <w:rsid w:val="579D4843"/>
    <w:rsid w:val="58B26C7B"/>
    <w:rsid w:val="59A21DB1"/>
    <w:rsid w:val="5C7207CA"/>
    <w:rsid w:val="5D455AB1"/>
    <w:rsid w:val="5D4E5EE4"/>
    <w:rsid w:val="5F1768A1"/>
    <w:rsid w:val="5F3A62D7"/>
    <w:rsid w:val="601528AE"/>
    <w:rsid w:val="621561F9"/>
    <w:rsid w:val="632503AA"/>
    <w:rsid w:val="6497190F"/>
    <w:rsid w:val="6678672C"/>
    <w:rsid w:val="6708123E"/>
    <w:rsid w:val="67B63D43"/>
    <w:rsid w:val="693F23B7"/>
    <w:rsid w:val="6EEF1AB1"/>
    <w:rsid w:val="6F8A6552"/>
    <w:rsid w:val="711F0324"/>
    <w:rsid w:val="71437B93"/>
    <w:rsid w:val="71706703"/>
    <w:rsid w:val="73A11301"/>
    <w:rsid w:val="74807613"/>
    <w:rsid w:val="75A42201"/>
    <w:rsid w:val="78FC2C90"/>
    <w:rsid w:val="795D7804"/>
    <w:rsid w:val="7F1C5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40" w:lineRule="atLeast"/>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76"/>
    <w:qFormat/>
    <w:uiPriority w:val="0"/>
    <w:pPr>
      <w:keepNext/>
      <w:keepLines/>
      <w:adjustRightInd/>
      <w:snapToGrid/>
      <w:spacing w:before="340" w:after="330" w:line="578" w:lineRule="auto"/>
      <w:ind w:firstLine="0" w:firstLineChars="0"/>
      <w:outlineLvl w:val="0"/>
    </w:pPr>
    <w:rPr>
      <w:b/>
      <w:bCs/>
      <w:kern w:val="44"/>
      <w:sz w:val="44"/>
      <w:szCs w:val="44"/>
    </w:rPr>
  </w:style>
  <w:style w:type="paragraph" w:styleId="3">
    <w:name w:val="heading 2"/>
    <w:basedOn w:val="1"/>
    <w:next w:val="1"/>
    <w:link w:val="40"/>
    <w:qFormat/>
    <w:uiPriority w:val="0"/>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link w:val="44"/>
    <w:qFormat/>
    <w:uiPriority w:val="0"/>
    <w:pPr>
      <w:keepNext/>
      <w:keepLines/>
      <w:adjustRightInd/>
      <w:snapToGrid/>
      <w:spacing w:beforeLines="50" w:afterLines="50" w:line="360" w:lineRule="auto"/>
      <w:ind w:firstLine="0" w:firstLineChars="0"/>
      <w:jc w:val="left"/>
      <w:outlineLvl w:val="2"/>
    </w:pPr>
    <w:rPr>
      <w:b/>
      <w:bCs/>
      <w:sz w:val="28"/>
      <w:szCs w:val="32"/>
      <w:lang w:val="zh-CN"/>
    </w:rPr>
  </w:style>
  <w:style w:type="character" w:default="1" w:styleId="29">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qFormat/>
    <w:uiPriority w:val="39"/>
    <w:pPr>
      <w:ind w:left="1200"/>
      <w:jc w:val="left"/>
    </w:pPr>
    <w:rPr>
      <w:sz w:val="20"/>
      <w:szCs w:val="20"/>
    </w:rPr>
  </w:style>
  <w:style w:type="paragraph" w:styleId="6">
    <w:name w:val="Document Map"/>
    <w:basedOn w:val="1"/>
    <w:link w:val="36"/>
    <w:qFormat/>
    <w:uiPriority w:val="0"/>
    <w:rPr>
      <w:rFonts w:ascii="宋体"/>
      <w:sz w:val="18"/>
      <w:szCs w:val="18"/>
    </w:rPr>
  </w:style>
  <w:style w:type="paragraph" w:styleId="7">
    <w:name w:val="annotation text"/>
    <w:basedOn w:val="1"/>
    <w:link w:val="47"/>
    <w:qFormat/>
    <w:uiPriority w:val="0"/>
    <w:pPr>
      <w:jc w:val="left"/>
    </w:pPr>
  </w:style>
  <w:style w:type="paragraph" w:styleId="8">
    <w:name w:val="Body Text"/>
    <w:basedOn w:val="1"/>
    <w:link w:val="43"/>
    <w:qFormat/>
    <w:uiPriority w:val="0"/>
    <w:pPr>
      <w:spacing w:after="120"/>
      <w:ind w:firstLine="0" w:firstLineChars="0"/>
    </w:pPr>
    <w:rPr>
      <w:rFonts w:ascii="宋体" w:hAnsi="宋体"/>
      <w:sz w:val="21"/>
    </w:rPr>
  </w:style>
  <w:style w:type="paragraph" w:styleId="9">
    <w:name w:val="toc 5"/>
    <w:basedOn w:val="1"/>
    <w:next w:val="1"/>
    <w:qFormat/>
    <w:uiPriority w:val="39"/>
    <w:pPr>
      <w:ind w:left="720"/>
      <w:jc w:val="left"/>
    </w:pPr>
    <w:rPr>
      <w:sz w:val="20"/>
      <w:szCs w:val="20"/>
    </w:rPr>
  </w:style>
  <w:style w:type="paragraph" w:styleId="10">
    <w:name w:val="toc 3"/>
    <w:basedOn w:val="1"/>
    <w:next w:val="1"/>
    <w:qFormat/>
    <w:uiPriority w:val="39"/>
    <w:pPr>
      <w:ind w:left="240"/>
      <w:jc w:val="left"/>
    </w:pPr>
    <w:rPr>
      <w:sz w:val="20"/>
      <w:szCs w:val="20"/>
    </w:rPr>
  </w:style>
  <w:style w:type="paragraph" w:styleId="11">
    <w:name w:val="Plain Text"/>
    <w:basedOn w:val="1"/>
    <w:link w:val="50"/>
    <w:qFormat/>
    <w:uiPriority w:val="0"/>
    <w:pPr>
      <w:widowControl/>
      <w:adjustRightInd/>
      <w:snapToGrid/>
      <w:spacing w:before="100" w:beforeAutospacing="1" w:after="100" w:afterAutospacing="1" w:line="240" w:lineRule="auto"/>
      <w:ind w:firstLine="0" w:firstLineChars="0"/>
      <w:jc w:val="left"/>
    </w:pPr>
    <w:rPr>
      <w:rFonts w:ascii="宋体" w:hAnsi="宋体" w:cs="宋体"/>
      <w:kern w:val="0"/>
    </w:rPr>
  </w:style>
  <w:style w:type="paragraph" w:styleId="12">
    <w:name w:val="toc 8"/>
    <w:basedOn w:val="1"/>
    <w:next w:val="1"/>
    <w:qFormat/>
    <w:uiPriority w:val="39"/>
    <w:pPr>
      <w:ind w:left="1440"/>
      <w:jc w:val="left"/>
    </w:pPr>
    <w:rPr>
      <w:sz w:val="20"/>
      <w:szCs w:val="20"/>
    </w:rPr>
  </w:style>
  <w:style w:type="paragraph" w:styleId="13">
    <w:name w:val="Balloon Text"/>
    <w:basedOn w:val="1"/>
    <w:link w:val="39"/>
    <w:qFormat/>
    <w:uiPriority w:val="0"/>
    <w:pPr>
      <w:spacing w:line="240" w:lineRule="auto"/>
    </w:pPr>
    <w:rPr>
      <w:sz w:val="18"/>
      <w:szCs w:val="18"/>
    </w:rPr>
  </w:style>
  <w:style w:type="paragraph" w:styleId="14">
    <w:name w:val="footer"/>
    <w:basedOn w:val="1"/>
    <w:link w:val="35"/>
    <w:qFormat/>
    <w:uiPriority w:val="99"/>
    <w:pPr>
      <w:tabs>
        <w:tab w:val="center" w:pos="4153"/>
        <w:tab w:val="right" w:pos="8306"/>
      </w:tabs>
      <w:spacing w:line="240" w:lineRule="atLeast"/>
      <w:jc w:val="left"/>
    </w:pPr>
    <w:rPr>
      <w:sz w:val="18"/>
      <w:szCs w:val="18"/>
    </w:rPr>
  </w:style>
  <w:style w:type="paragraph" w:styleId="15">
    <w:name w:val="header"/>
    <w:basedOn w:val="1"/>
    <w:link w:val="42"/>
    <w:qFormat/>
    <w:uiPriority w:val="99"/>
    <w:pPr>
      <w:pBdr>
        <w:bottom w:val="single" w:color="auto" w:sz="6" w:space="1"/>
      </w:pBdr>
      <w:tabs>
        <w:tab w:val="center" w:pos="4153"/>
        <w:tab w:val="right" w:pos="8306"/>
      </w:tabs>
      <w:spacing w:line="240" w:lineRule="atLeast"/>
      <w:jc w:val="center"/>
    </w:pPr>
    <w:rPr>
      <w:sz w:val="18"/>
      <w:szCs w:val="18"/>
    </w:rPr>
  </w:style>
  <w:style w:type="paragraph" w:styleId="16">
    <w:name w:val="toc 1"/>
    <w:basedOn w:val="1"/>
    <w:next w:val="1"/>
    <w:qFormat/>
    <w:uiPriority w:val="39"/>
    <w:pPr>
      <w:tabs>
        <w:tab w:val="right" w:leader="dot" w:pos="8302"/>
      </w:tabs>
      <w:spacing w:before="360" w:line="240" w:lineRule="auto"/>
      <w:ind w:firstLine="0" w:firstLineChars="0"/>
      <w:jc w:val="left"/>
    </w:pPr>
    <w:rPr>
      <w:rFonts w:ascii="宋体" w:hAnsi="宋体" w:cs="Arial"/>
      <w:b/>
      <w:bCs/>
      <w:caps/>
      <w:kern w:val="0"/>
      <w:lang w:val="en-US" w:eastAsia="zh-CN"/>
    </w:rPr>
  </w:style>
  <w:style w:type="paragraph" w:styleId="17">
    <w:name w:val="toc 4"/>
    <w:basedOn w:val="1"/>
    <w:next w:val="1"/>
    <w:qFormat/>
    <w:uiPriority w:val="39"/>
    <w:pPr>
      <w:ind w:left="480"/>
      <w:jc w:val="left"/>
    </w:pPr>
    <w:rPr>
      <w:sz w:val="20"/>
      <w:szCs w:val="20"/>
    </w:rPr>
  </w:style>
  <w:style w:type="paragraph" w:styleId="18">
    <w:name w:val="footnote text"/>
    <w:basedOn w:val="1"/>
    <w:link w:val="45"/>
    <w:semiHidden/>
    <w:qFormat/>
    <w:uiPriority w:val="0"/>
    <w:pPr>
      <w:jc w:val="left"/>
    </w:pPr>
    <w:rPr>
      <w:sz w:val="18"/>
      <w:szCs w:val="18"/>
    </w:rPr>
  </w:style>
  <w:style w:type="paragraph" w:styleId="19">
    <w:name w:val="toc 6"/>
    <w:basedOn w:val="1"/>
    <w:next w:val="1"/>
    <w:qFormat/>
    <w:uiPriority w:val="39"/>
    <w:pPr>
      <w:ind w:left="960"/>
      <w:jc w:val="left"/>
    </w:pPr>
    <w:rPr>
      <w:sz w:val="20"/>
      <w:szCs w:val="20"/>
    </w:rPr>
  </w:style>
  <w:style w:type="paragraph" w:styleId="20">
    <w:name w:val="table of figures"/>
    <w:basedOn w:val="1"/>
    <w:next w:val="1"/>
    <w:semiHidden/>
    <w:qFormat/>
    <w:uiPriority w:val="0"/>
    <w:pPr>
      <w:ind w:left="480" w:hanging="480"/>
      <w:jc w:val="left"/>
    </w:pPr>
    <w:rPr>
      <w:caps/>
      <w:sz w:val="20"/>
      <w:szCs w:val="20"/>
    </w:rPr>
  </w:style>
  <w:style w:type="paragraph" w:styleId="21">
    <w:name w:val="toc 2"/>
    <w:basedOn w:val="1"/>
    <w:next w:val="1"/>
    <w:qFormat/>
    <w:uiPriority w:val="39"/>
    <w:pPr>
      <w:spacing w:before="240" w:line="240" w:lineRule="auto"/>
      <w:ind w:firstLine="0" w:firstLineChars="0"/>
    </w:pPr>
    <w:rPr>
      <w:b/>
      <w:bCs/>
      <w:sz w:val="20"/>
      <w:szCs w:val="20"/>
    </w:rPr>
  </w:style>
  <w:style w:type="paragraph" w:styleId="22">
    <w:name w:val="toc 9"/>
    <w:basedOn w:val="1"/>
    <w:next w:val="1"/>
    <w:qFormat/>
    <w:uiPriority w:val="39"/>
    <w:pPr>
      <w:ind w:left="1680"/>
      <w:jc w:val="left"/>
    </w:pPr>
    <w:rPr>
      <w:sz w:val="20"/>
      <w:szCs w:val="20"/>
    </w:rPr>
  </w:style>
  <w:style w:type="paragraph" w:styleId="2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24">
    <w:name w:val="Title"/>
    <w:basedOn w:val="1"/>
    <w:next w:val="1"/>
    <w:link w:val="41"/>
    <w:qFormat/>
    <w:uiPriority w:val="0"/>
    <w:pPr>
      <w:spacing w:before="240" w:after="60"/>
      <w:jc w:val="center"/>
      <w:outlineLvl w:val="0"/>
    </w:pPr>
    <w:rPr>
      <w:rFonts w:ascii="Cambria" w:hAnsi="Cambria"/>
      <w:b/>
      <w:bCs/>
      <w:sz w:val="32"/>
      <w:szCs w:val="32"/>
    </w:rPr>
  </w:style>
  <w:style w:type="paragraph" w:styleId="25">
    <w:name w:val="annotation subject"/>
    <w:basedOn w:val="7"/>
    <w:next w:val="7"/>
    <w:link w:val="46"/>
    <w:qFormat/>
    <w:uiPriority w:val="0"/>
    <w:rPr>
      <w:b/>
      <w:bCs/>
    </w:rPr>
  </w:style>
  <w:style w:type="table" w:styleId="27">
    <w:name w:val="Table Grid"/>
    <w:basedOn w:val="26"/>
    <w:qFormat/>
    <w:uiPriority w:val="0"/>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8">
    <w:name w:val="Table Theme"/>
    <w:basedOn w:val="26"/>
    <w:qFormat/>
    <w:uiPriority w:val="0"/>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Hyperlink"/>
    <w:basedOn w:val="29"/>
    <w:qFormat/>
    <w:uiPriority w:val="99"/>
    <w:rPr>
      <w:color w:val="0000FF"/>
      <w:u w:val="single"/>
    </w:rPr>
  </w:style>
  <w:style w:type="character" w:styleId="33">
    <w:name w:val="annotation reference"/>
    <w:basedOn w:val="29"/>
    <w:qFormat/>
    <w:uiPriority w:val="0"/>
    <w:rPr>
      <w:sz w:val="21"/>
      <w:szCs w:val="21"/>
    </w:rPr>
  </w:style>
  <w:style w:type="character" w:styleId="34">
    <w:name w:val="footnote reference"/>
    <w:basedOn w:val="29"/>
    <w:semiHidden/>
    <w:qFormat/>
    <w:uiPriority w:val="0"/>
    <w:rPr>
      <w:vertAlign w:val="superscript"/>
    </w:rPr>
  </w:style>
  <w:style w:type="character" w:customStyle="1" w:styleId="35">
    <w:name w:val="页脚字符"/>
    <w:basedOn w:val="29"/>
    <w:link w:val="14"/>
    <w:qFormat/>
    <w:uiPriority w:val="99"/>
    <w:rPr>
      <w:kern w:val="2"/>
      <w:sz w:val="18"/>
      <w:szCs w:val="18"/>
    </w:rPr>
  </w:style>
  <w:style w:type="character" w:customStyle="1" w:styleId="36">
    <w:name w:val="文档结构图字符"/>
    <w:basedOn w:val="29"/>
    <w:link w:val="6"/>
    <w:qFormat/>
    <w:uiPriority w:val="0"/>
    <w:rPr>
      <w:rFonts w:ascii="宋体"/>
      <w:kern w:val="2"/>
      <w:sz w:val="18"/>
      <w:szCs w:val="18"/>
    </w:rPr>
  </w:style>
  <w:style w:type="character" w:customStyle="1" w:styleId="37">
    <w:name w:val="正文样式 Char"/>
    <w:basedOn w:val="29"/>
    <w:link w:val="38"/>
    <w:qFormat/>
    <w:uiPriority w:val="0"/>
    <w:rPr>
      <w:rFonts w:ascii="宋体" w:hAnsi="宋体" w:eastAsia="宋体" w:cs="宋体"/>
      <w:sz w:val="24"/>
      <w:lang w:val="en-US" w:eastAsia="zh-CN" w:bidi="ar-SA"/>
    </w:rPr>
  </w:style>
  <w:style w:type="paragraph" w:customStyle="1" w:styleId="38">
    <w:name w:val="正文样式"/>
    <w:basedOn w:val="1"/>
    <w:link w:val="37"/>
    <w:qFormat/>
    <w:uiPriority w:val="0"/>
    <w:pPr>
      <w:spacing w:line="360" w:lineRule="auto"/>
      <w:ind w:firstLine="480"/>
    </w:pPr>
    <w:rPr>
      <w:rFonts w:ascii="宋体" w:hAnsi="宋体" w:cs="宋体"/>
      <w:kern w:val="0"/>
      <w:szCs w:val="20"/>
    </w:rPr>
  </w:style>
  <w:style w:type="character" w:customStyle="1" w:styleId="39">
    <w:name w:val="批注框文本字符"/>
    <w:basedOn w:val="29"/>
    <w:link w:val="13"/>
    <w:qFormat/>
    <w:uiPriority w:val="0"/>
    <w:rPr>
      <w:kern w:val="2"/>
      <w:sz w:val="18"/>
      <w:szCs w:val="18"/>
    </w:rPr>
  </w:style>
  <w:style w:type="character" w:customStyle="1" w:styleId="40">
    <w:name w:val="标题 2字符"/>
    <w:basedOn w:val="29"/>
    <w:link w:val="3"/>
    <w:qFormat/>
    <w:uiPriority w:val="0"/>
    <w:rPr>
      <w:rFonts w:ascii="Arial" w:hAnsi="Arial" w:eastAsia="黑体"/>
      <w:b/>
      <w:bCs/>
      <w:kern w:val="2"/>
      <w:sz w:val="32"/>
      <w:szCs w:val="32"/>
    </w:rPr>
  </w:style>
  <w:style w:type="character" w:customStyle="1" w:styleId="41">
    <w:name w:val="标题字符"/>
    <w:basedOn w:val="29"/>
    <w:link w:val="24"/>
    <w:qFormat/>
    <w:uiPriority w:val="0"/>
    <w:rPr>
      <w:rFonts w:ascii="Cambria" w:hAnsi="Cambria" w:cs="Times New Roman"/>
      <w:b/>
      <w:bCs/>
      <w:kern w:val="2"/>
      <w:sz w:val="32"/>
      <w:szCs w:val="32"/>
    </w:rPr>
  </w:style>
  <w:style w:type="character" w:customStyle="1" w:styleId="42">
    <w:name w:val="页眉字符"/>
    <w:basedOn w:val="29"/>
    <w:link w:val="15"/>
    <w:qFormat/>
    <w:uiPriority w:val="99"/>
    <w:rPr>
      <w:kern w:val="2"/>
      <w:sz w:val="18"/>
      <w:szCs w:val="18"/>
    </w:rPr>
  </w:style>
  <w:style w:type="character" w:customStyle="1" w:styleId="43">
    <w:name w:val="正文文本字符"/>
    <w:basedOn w:val="29"/>
    <w:link w:val="8"/>
    <w:qFormat/>
    <w:locked/>
    <w:uiPriority w:val="0"/>
    <w:rPr>
      <w:rFonts w:ascii="宋体" w:hAnsi="宋体" w:eastAsia="宋体"/>
      <w:kern w:val="2"/>
      <w:sz w:val="21"/>
      <w:szCs w:val="24"/>
      <w:lang w:val="en-US" w:eastAsia="zh-CN" w:bidi="ar-SA"/>
    </w:rPr>
  </w:style>
  <w:style w:type="character" w:customStyle="1" w:styleId="44">
    <w:name w:val="标题 3字符"/>
    <w:basedOn w:val="29"/>
    <w:link w:val="4"/>
    <w:qFormat/>
    <w:uiPriority w:val="0"/>
    <w:rPr>
      <w:b/>
      <w:bCs/>
      <w:kern w:val="2"/>
      <w:sz w:val="28"/>
      <w:szCs w:val="32"/>
      <w:lang w:val="zh-CN"/>
    </w:rPr>
  </w:style>
  <w:style w:type="character" w:customStyle="1" w:styleId="45">
    <w:name w:val="脚注文本字符"/>
    <w:basedOn w:val="29"/>
    <w:link w:val="18"/>
    <w:semiHidden/>
    <w:qFormat/>
    <w:uiPriority w:val="0"/>
    <w:rPr>
      <w:kern w:val="2"/>
      <w:sz w:val="18"/>
      <w:szCs w:val="18"/>
    </w:rPr>
  </w:style>
  <w:style w:type="character" w:customStyle="1" w:styleId="46">
    <w:name w:val="批注主题字符"/>
    <w:basedOn w:val="47"/>
    <w:link w:val="25"/>
    <w:qFormat/>
    <w:uiPriority w:val="0"/>
    <w:rPr>
      <w:b/>
      <w:bCs/>
      <w:kern w:val="2"/>
      <w:sz w:val="24"/>
      <w:szCs w:val="24"/>
    </w:rPr>
  </w:style>
  <w:style w:type="character" w:customStyle="1" w:styleId="47">
    <w:name w:val="批注文字字符"/>
    <w:basedOn w:val="29"/>
    <w:link w:val="7"/>
    <w:qFormat/>
    <w:uiPriority w:val="0"/>
    <w:rPr>
      <w:kern w:val="2"/>
      <w:sz w:val="24"/>
      <w:szCs w:val="24"/>
    </w:rPr>
  </w:style>
  <w:style w:type="character" w:customStyle="1" w:styleId="48">
    <w:name w:val="注释级别 2字符"/>
    <w:basedOn w:val="29"/>
    <w:link w:val="49"/>
    <w:qFormat/>
    <w:uiPriority w:val="1"/>
    <w:rPr>
      <w:rFonts w:ascii="Calibri" w:hAnsi="Calibri"/>
      <w:sz w:val="22"/>
      <w:szCs w:val="22"/>
      <w:lang w:val="en-US" w:eastAsia="zh-CN" w:bidi="ar-SA"/>
    </w:rPr>
  </w:style>
  <w:style w:type="paragraph" w:customStyle="1" w:styleId="49">
    <w:name w:val="Note Level 2"/>
    <w:link w:val="48"/>
    <w:qFormat/>
    <w:uiPriority w:val="1"/>
    <w:rPr>
      <w:rFonts w:ascii="Calibri" w:hAnsi="Calibri" w:eastAsia="宋体" w:cs="Times New Roman"/>
      <w:sz w:val="22"/>
      <w:szCs w:val="22"/>
      <w:lang w:val="en-US" w:eastAsia="zh-CN" w:bidi="ar-SA"/>
    </w:rPr>
  </w:style>
  <w:style w:type="character" w:customStyle="1" w:styleId="50">
    <w:name w:val="纯文本字符"/>
    <w:basedOn w:val="29"/>
    <w:link w:val="11"/>
    <w:qFormat/>
    <w:locked/>
    <w:uiPriority w:val="0"/>
    <w:rPr>
      <w:rFonts w:ascii="宋体" w:hAnsi="宋体" w:eastAsia="宋体" w:cs="宋体"/>
      <w:sz w:val="24"/>
      <w:szCs w:val="24"/>
      <w:lang w:val="en-US" w:eastAsia="zh-CN" w:bidi="ar-SA"/>
    </w:rPr>
  </w:style>
  <w:style w:type="character" w:customStyle="1" w:styleId="51">
    <w:name w:val="16"/>
    <w:basedOn w:val="29"/>
    <w:qFormat/>
    <w:uiPriority w:val="0"/>
    <w:rPr>
      <w:rFonts w:hint="default" w:ascii="Times New Roman" w:hAnsi="Times New Roman" w:cs="Times New Roman"/>
      <w:color w:val="0000FF"/>
      <w:u w:val="single"/>
    </w:rPr>
  </w:style>
  <w:style w:type="character" w:customStyle="1" w:styleId="52">
    <w:name w:val="content1"/>
    <w:basedOn w:val="29"/>
    <w:qFormat/>
    <w:uiPriority w:val="0"/>
  </w:style>
  <w:style w:type="character" w:customStyle="1" w:styleId="53">
    <w:name w:val="图表 Char"/>
    <w:basedOn w:val="37"/>
    <w:link w:val="54"/>
    <w:qFormat/>
    <w:uiPriority w:val="0"/>
    <w:rPr>
      <w:rFonts w:ascii="宋体" w:hAnsi="宋体" w:eastAsia="宋体" w:cs="宋体"/>
      <w:bCs/>
      <w:sz w:val="24"/>
      <w:szCs w:val="32"/>
      <w:lang w:val="zh-CN" w:eastAsia="zh-CN" w:bidi="ar-SA"/>
    </w:rPr>
  </w:style>
  <w:style w:type="paragraph" w:customStyle="1" w:styleId="54">
    <w:name w:val="图表"/>
    <w:basedOn w:val="38"/>
    <w:next w:val="38"/>
    <w:link w:val="53"/>
    <w:qFormat/>
    <w:uiPriority w:val="0"/>
    <w:pPr>
      <w:spacing w:before="156" w:beforeLines="50" w:after="156" w:afterLines="50"/>
      <w:ind w:firstLine="235" w:firstLineChars="98"/>
    </w:pPr>
    <w:rPr>
      <w:bCs/>
      <w:szCs w:val="32"/>
      <w:lang w:val="zh-CN"/>
    </w:rPr>
  </w:style>
  <w:style w:type="paragraph" w:customStyle="1" w:styleId="55">
    <w:name w:val="中文文本"/>
    <w:basedOn w:val="1"/>
    <w:qFormat/>
    <w:uiPriority w:val="0"/>
    <w:pPr>
      <w:autoSpaceDE w:val="0"/>
      <w:autoSpaceDN w:val="0"/>
      <w:snapToGrid/>
      <w:spacing w:before="120" w:after="120" w:line="240" w:lineRule="auto"/>
      <w:ind w:firstLine="0" w:firstLineChars="0"/>
    </w:pPr>
    <w:rPr>
      <w:kern w:val="0"/>
      <w:szCs w:val="20"/>
    </w:rPr>
  </w:style>
  <w:style w:type="paragraph" w:customStyle="1" w:styleId="56">
    <w:name w:val="样式 四号 加粗 黑色 首行缩进:  0 字符"/>
    <w:basedOn w:val="1"/>
    <w:qFormat/>
    <w:uiPriority w:val="0"/>
    <w:pPr>
      <w:ind w:firstLine="0" w:firstLineChars="0"/>
    </w:pPr>
    <w:rPr>
      <w:rFonts w:eastAsia="黑体" w:cs="宋体"/>
      <w:bCs/>
      <w:color w:val="000000"/>
      <w:sz w:val="28"/>
      <w:szCs w:val="20"/>
    </w:rPr>
  </w:style>
  <w:style w:type="paragraph" w:customStyle="1" w:styleId="57">
    <w:name w:val="Char3"/>
    <w:basedOn w:val="1"/>
    <w:qFormat/>
    <w:uiPriority w:val="0"/>
    <w:pPr>
      <w:adjustRightInd/>
      <w:snapToGrid/>
      <w:spacing w:line="240" w:lineRule="auto"/>
      <w:ind w:firstLine="0" w:firstLineChars="0"/>
    </w:pPr>
    <w:rPr>
      <w:rFonts w:ascii="Tahoma" w:hAnsi="Tahoma"/>
      <w:szCs w:val="20"/>
    </w:rPr>
  </w:style>
  <w:style w:type="paragraph" w:customStyle="1" w:styleId="58">
    <w:name w:val="标题 2 + 首行缩进:  2 字符1 + 首行缩进:  2 字符"/>
    <w:basedOn w:val="59"/>
    <w:qFormat/>
    <w:uiPriority w:val="0"/>
    <w:pPr>
      <w:keepNext w:val="0"/>
      <w:keepLines w:val="0"/>
      <w:spacing w:before="0" w:after="0" w:line="360" w:lineRule="auto"/>
      <w:ind w:firstLine="562"/>
    </w:pPr>
    <w:rPr>
      <w:b/>
      <w:bCs w:val="0"/>
      <w:sz w:val="28"/>
      <w:szCs w:val="28"/>
    </w:rPr>
  </w:style>
  <w:style w:type="paragraph" w:customStyle="1" w:styleId="59">
    <w:name w:val="样式 标题 2 + 首行缩进:  2 字符1"/>
    <w:basedOn w:val="3"/>
    <w:qFormat/>
    <w:uiPriority w:val="0"/>
    <w:pPr>
      <w:ind w:firstLine="643"/>
    </w:pPr>
    <w:rPr>
      <w:rFonts w:cs="宋体"/>
      <w:b w:val="0"/>
      <w:szCs w:val="20"/>
    </w:rPr>
  </w:style>
  <w:style w:type="paragraph" w:customStyle="1" w:styleId="60">
    <w:name w:val="彩色底纹 - 强调文字颜色 6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1">
    <w:name w:val="样式 标题 2 + 首行缩进:  2 字符"/>
    <w:basedOn w:val="3"/>
    <w:qFormat/>
    <w:uiPriority w:val="0"/>
    <w:pPr>
      <w:ind w:firstLine="643"/>
    </w:pPr>
    <w:rPr>
      <w:rFonts w:cs="宋体"/>
      <w:b w:val="0"/>
      <w:kern w:val="0"/>
      <w:szCs w:val="20"/>
    </w:rPr>
  </w:style>
  <w:style w:type="paragraph" w:customStyle="1" w:styleId="62">
    <w:name w:val=" Char"/>
    <w:basedOn w:val="1"/>
    <w:semiHidden/>
    <w:qFormat/>
    <w:uiPriority w:val="0"/>
    <w:pPr>
      <w:widowControl/>
      <w:adjustRightInd/>
      <w:snapToGrid/>
      <w:spacing w:after="160" w:line="240" w:lineRule="exact"/>
      <w:ind w:firstLine="0" w:firstLineChars="0"/>
      <w:jc w:val="left"/>
    </w:pPr>
    <w:rPr>
      <w:rFonts w:ascii="Verdana" w:hAnsi="Verdana"/>
      <w:kern w:val="0"/>
      <w:sz w:val="20"/>
      <w:szCs w:val="20"/>
      <w:lang w:eastAsia="en-US"/>
    </w:rPr>
  </w:style>
  <w:style w:type="paragraph" w:customStyle="1" w:styleId="63">
    <w:name w:val="Char1"/>
    <w:basedOn w:val="1"/>
    <w:qFormat/>
    <w:uiPriority w:val="0"/>
    <w:pPr>
      <w:adjustRightInd/>
      <w:snapToGrid/>
      <w:spacing w:line="240" w:lineRule="auto"/>
      <w:ind w:firstLine="0" w:firstLineChars="0"/>
    </w:pPr>
    <w:rPr>
      <w:rFonts w:ascii="Tahoma" w:hAnsi="Tahoma"/>
      <w:szCs w:val="20"/>
    </w:rPr>
  </w:style>
  <w:style w:type="paragraph" w:customStyle="1" w:styleId="64">
    <w:name w:val="样式 段前: 7.8 磅 行距: 固定值 22 磅"/>
    <w:basedOn w:val="1"/>
    <w:qFormat/>
    <w:uiPriority w:val="0"/>
    <w:pPr>
      <w:spacing w:before="100" w:beforeAutospacing="1" w:line="440" w:lineRule="exact"/>
    </w:pPr>
    <w:rPr>
      <w:rFonts w:cs="宋体"/>
      <w:szCs w:val="20"/>
    </w:rPr>
  </w:style>
  <w:style w:type="paragraph" w:customStyle="1" w:styleId="65">
    <w:name w:val="xl31"/>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宋体" w:hAnsi="宋体"/>
      <w:kern w:val="0"/>
      <w:sz w:val="18"/>
      <w:szCs w:val="18"/>
    </w:rPr>
  </w:style>
  <w:style w:type="paragraph" w:customStyle="1" w:styleId="66">
    <w:name w:val="Char"/>
    <w:basedOn w:val="1"/>
    <w:qFormat/>
    <w:uiPriority w:val="0"/>
    <w:pPr>
      <w:adjustRightInd/>
      <w:snapToGrid/>
      <w:spacing w:line="240" w:lineRule="auto"/>
      <w:ind w:firstLine="0" w:firstLineChars="0"/>
    </w:pPr>
    <w:rPr>
      <w:rFonts w:ascii="Tahoma" w:hAnsi="Tahoma"/>
      <w:szCs w:val="20"/>
    </w:rPr>
  </w:style>
  <w:style w:type="paragraph" w:customStyle="1" w:styleId="67">
    <w:name w:val="样式 (西文) 宋体 四号 加粗 黑色 首行缩进:  2 字符 行距: 单倍行距"/>
    <w:basedOn w:val="1"/>
    <w:qFormat/>
    <w:uiPriority w:val="0"/>
    <w:pPr>
      <w:snapToGrid/>
      <w:spacing w:line="360" w:lineRule="auto"/>
      <w:ind w:firstLine="482"/>
    </w:pPr>
    <w:rPr>
      <w:rFonts w:ascii="宋体" w:hAnsi="宋体" w:cs="宋体"/>
      <w:bCs/>
      <w:color w:val="000000"/>
    </w:rPr>
  </w:style>
  <w:style w:type="paragraph" w:customStyle="1" w:styleId="68">
    <w:name w:val="样式 左侧:  0.85 厘米"/>
    <w:basedOn w:val="1"/>
    <w:qFormat/>
    <w:uiPriority w:val="0"/>
    <w:pPr>
      <w:ind w:firstLine="0" w:firstLineChars="0"/>
    </w:pPr>
    <w:rPr>
      <w:rFonts w:cs="宋体"/>
      <w:szCs w:val="20"/>
    </w:rPr>
  </w:style>
  <w:style w:type="paragraph" w:customStyle="1" w:styleId="69">
    <w:name w:val="标题 2 + 首行缩进:  2 字符1"/>
    <w:basedOn w:val="3"/>
    <w:qFormat/>
    <w:uiPriority w:val="0"/>
    <w:pPr>
      <w:keepNext w:val="0"/>
      <w:keepLines w:val="0"/>
      <w:ind w:firstLine="0" w:firstLineChars="0"/>
    </w:pPr>
    <w:rPr>
      <w:rFonts w:cs="宋体"/>
      <w:b w:val="0"/>
      <w:kern w:val="0"/>
      <w:sz w:val="30"/>
      <w:szCs w:val="30"/>
    </w:rPr>
  </w:style>
  <w:style w:type="paragraph" w:customStyle="1" w:styleId="70">
    <w:name w:val="（一）标题"/>
    <w:basedOn w:val="1"/>
    <w:next w:val="1"/>
    <w:qFormat/>
    <w:uiPriority w:val="0"/>
    <w:pPr>
      <w:spacing w:before="100" w:beforeAutospacing="1" w:after="100" w:afterAutospacing="1"/>
      <w:ind w:firstLine="480"/>
    </w:pPr>
    <w:rPr>
      <w:rFonts w:ascii="宋体" w:hAnsi="宋体" w:cs="宋体"/>
      <w:color w:val="000000"/>
    </w:rPr>
  </w:style>
  <w:style w:type="paragraph" w:customStyle="1" w:styleId="71">
    <w:name w:val="标题5"/>
    <w:basedOn w:val="4"/>
    <w:qFormat/>
    <w:uiPriority w:val="0"/>
    <w:pPr>
      <w:spacing w:before="50" w:after="50"/>
      <w:ind w:firstLine="200" w:firstLineChars="200"/>
    </w:pPr>
    <w:rPr>
      <w:sz w:val="24"/>
    </w:rPr>
  </w:style>
  <w:style w:type="paragraph" w:customStyle="1" w:styleId="72">
    <w:name w:val="Char2"/>
    <w:basedOn w:val="1"/>
    <w:qFormat/>
    <w:uiPriority w:val="0"/>
    <w:pPr>
      <w:adjustRightInd/>
      <w:snapToGrid/>
      <w:spacing w:line="240" w:lineRule="auto"/>
      <w:ind w:firstLine="0" w:firstLineChars="0"/>
    </w:pPr>
    <w:rPr>
      <w:rFonts w:ascii="Tahoma" w:hAnsi="Tahoma"/>
      <w:szCs w:val="20"/>
    </w:rPr>
  </w:style>
  <w:style w:type="paragraph" w:customStyle="1" w:styleId="7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74">
    <w:name w:val="网格型2"/>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5">
    <w:name w:val="网格型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6">
    <w:name w:val="标题 1 Char"/>
    <w:link w:val="2"/>
    <w:qFormat/>
    <w:uiPriority w:val="0"/>
    <w:rPr>
      <w:b/>
      <w:bCs/>
      <w:kern w:val="44"/>
      <w:sz w:val="44"/>
      <w:szCs w:val="44"/>
    </w:rPr>
  </w:style>
  <w:style w:type="character" w:customStyle="1" w:styleId="77">
    <w:name w:val="fontstyle01"/>
    <w:basedOn w:val="29"/>
    <w:qFormat/>
    <w:uiPriority w:val="0"/>
    <w:rPr>
      <w:rFonts w:hint="eastAsia" w:ascii="宋体" w:hAnsi="宋体" w:eastAsia="宋体"/>
      <w:color w:val="000000"/>
      <w:sz w:val="24"/>
      <w:szCs w:val="24"/>
    </w:rPr>
  </w:style>
  <w:style w:type="character" w:customStyle="1" w:styleId="78">
    <w:name w:val="fontstyle11"/>
    <w:basedOn w:val="29"/>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1296</Words>
  <Characters>7388</Characters>
  <Lines>61</Lines>
  <Paragraphs>17</Paragraphs>
  <TotalTime>5</TotalTime>
  <ScaleCrop>false</ScaleCrop>
  <LinksUpToDate>false</LinksUpToDate>
  <CharactersWithSpaces>8667</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2018-12-24T12:51:00Z</dcterms:created>
  <dc:creator>微软系统</dc:creator>
  <cp:lastModifiedBy>李光恒</cp:lastModifiedBy>
  <cp:lastPrinted>2020-08-19T06:01:00Z</cp:lastPrinted>
  <dcterms:modified xsi:type="dcterms:W3CDTF">2022-05-25T08:19:05Z</dcterms:modified>
  <dc:title>大连顶金通用设备制造有限公司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