
<file path=[Content_Types].xml><?xml version="1.0" encoding="utf-8"?>
<Types xmlns="http://schemas.openxmlformats.org/package/2006/content-types">
  <Default Extension="xml" ContentType="application/xml"/>
  <Default Extension="wmf" ContentType="image/x-wmf"/>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淄博德昶泰经贸有限公司</w:t>
      </w:r>
    </w:p>
    <w:p>
      <w:pPr>
        <w:jc w:val="center"/>
        <w:rPr>
          <w:rFonts w:ascii="黑体" w:hAnsi="黑体" w:eastAsia="黑体" w:cs="黑体"/>
          <w:b/>
          <w:bCs/>
          <w:sz w:val="44"/>
          <w:szCs w:val="44"/>
        </w:rPr>
      </w:pPr>
      <w:r>
        <w:rPr>
          <w:rFonts w:hint="eastAsia" w:ascii="黑体" w:hAnsi="黑体" w:eastAsia="黑体" w:cs="黑体"/>
          <w:b/>
          <w:bCs/>
          <w:sz w:val="44"/>
          <w:szCs w:val="44"/>
        </w:rPr>
        <w:t>挂牌转让说明书摘要</w:t>
      </w:r>
    </w:p>
    <w:p>
      <w:pPr>
        <w:ind w:firstLine="2530" w:firstLineChars="900"/>
        <w:rPr>
          <w:rFonts w:ascii="黑体" w:hAnsi="黑体" w:eastAsia="黑体" w:cs="黑体"/>
          <w:b/>
          <w:bCs/>
          <w:sz w:val="28"/>
          <w:szCs w:val="28"/>
        </w:rPr>
      </w:pPr>
      <w:r>
        <w:rPr>
          <w:rFonts w:hint="eastAsia" w:ascii="黑体" w:hAnsi="黑体" w:eastAsia="黑体" w:cs="黑体"/>
          <w:b/>
          <w:bCs/>
          <w:sz w:val="28"/>
          <w:szCs w:val="28"/>
        </w:rPr>
        <w:t>（申请板块：成长板）</w:t>
      </w:r>
    </w:p>
    <w:p>
      <w:pPr>
        <w:ind w:firstLine="640" w:firstLineChars="200"/>
        <w:jc w:val="center"/>
        <w:rPr>
          <w:rFonts w:ascii="仿宋" w:hAnsi="仿宋" w:eastAsia="仿宋" w:cs="仿宋"/>
          <w:sz w:val="32"/>
          <w:szCs w:val="32"/>
        </w:rPr>
      </w:pPr>
    </w:p>
    <w:p>
      <w:pPr>
        <w:jc w:val="center"/>
        <w:rPr>
          <w:rFonts w:hint="eastAsia" w:ascii="仿宋" w:hAnsi="仿宋" w:eastAsia="仿宋" w:cs="仿宋"/>
          <w:b/>
          <w:bCs/>
          <w:sz w:val="32"/>
          <w:szCs w:val="32"/>
          <w:lang w:val="en-US" w:eastAsia="zh-CN"/>
        </w:rPr>
      </w:pPr>
      <w:r>
        <w:rPr>
          <w:rFonts w:hint="eastAsia" w:ascii="仿宋" w:hAnsi="仿宋" w:eastAsia="仿宋" w:cs="仿宋"/>
          <w:b/>
          <w:bCs/>
          <w:sz w:val="32"/>
          <w:szCs w:val="32"/>
        </w:rPr>
        <w:t>声 明</w:t>
      </w:r>
    </w:p>
    <w:p>
      <w:pPr>
        <w:jc w:val="center"/>
        <w:rPr>
          <w:rFonts w:ascii="仿宋" w:hAnsi="仿宋" w:eastAsia="仿宋" w:cs="仿宋"/>
          <w:sz w:val="32"/>
          <w:szCs w:val="32"/>
        </w:rPr>
      </w:pPr>
    </w:p>
    <w:p>
      <w:pPr>
        <w:ind w:firstLine="640" w:firstLineChars="200"/>
        <w:rPr>
          <w:rFonts w:ascii="仿宋" w:hAnsi="仿宋" w:eastAsia="仿宋" w:cs="仿宋"/>
          <w:sz w:val="32"/>
          <w:szCs w:val="32"/>
        </w:rPr>
      </w:pPr>
      <w:r>
        <w:rPr>
          <w:rFonts w:hint="eastAsia" w:ascii="仿宋" w:hAnsi="仿宋" w:eastAsia="仿宋" w:cs="仿宋"/>
          <w:sz w:val="32"/>
          <w:szCs w:val="32"/>
        </w:rPr>
        <w:t>本公司及全体董事、监事、高级管理人员承诺挂牌说明书不存在虚假记载、误导性陈述或重大遗漏，并对其真实性、准确性、完整性承担个别和连带的法律责任。</w:t>
      </w:r>
    </w:p>
    <w:p>
      <w:pPr>
        <w:ind w:firstLine="640" w:firstLineChars="200"/>
        <w:rPr>
          <w:rFonts w:ascii="仿宋" w:hAnsi="仿宋" w:eastAsia="仿宋" w:cs="仿宋"/>
          <w:sz w:val="32"/>
          <w:szCs w:val="32"/>
        </w:rPr>
      </w:pPr>
      <w:r>
        <w:rPr>
          <w:rFonts w:hint="eastAsia" w:ascii="仿宋" w:hAnsi="仿宋" w:eastAsia="仿宋" w:cs="仿宋"/>
          <w:sz w:val="32"/>
          <w:szCs w:val="32"/>
        </w:rPr>
        <w:t>本公司提醒投资者注意，凡本挂牌转让说明书未涉及的有关内容，请投资者直接或通过齐鲁股权交易中心有限公司向本公司查询。</w:t>
      </w:r>
    </w:p>
    <w:p>
      <w:pPr>
        <w:ind w:firstLine="640" w:firstLineChars="200"/>
        <w:rPr>
          <w:rFonts w:ascii="仿宋" w:hAnsi="仿宋" w:eastAsia="仿宋" w:cs="仿宋"/>
          <w:sz w:val="32"/>
          <w:szCs w:val="32"/>
        </w:rPr>
      </w:pPr>
      <w:r>
        <w:rPr>
          <w:rFonts w:hint="eastAsia" w:ascii="仿宋" w:hAnsi="仿宋" w:eastAsia="仿宋" w:cs="仿宋"/>
          <w:sz w:val="32"/>
          <w:szCs w:val="32"/>
        </w:rPr>
        <w:t>齐鲁股权交易中心有限公司对本次挂牌所做的任何决定或意见，均不表明其对本公司股票（权）的价值或投资者收益作出实质性判断或保证。任何与之相反的声明均属虚假不实陈述。本公司经营与收益的变化，由本公司自行负责，由此引致的投资风险，由投资者自行承担。</w:t>
      </w:r>
    </w:p>
    <w:p>
      <w:pPr>
        <w:rPr>
          <w:rFonts w:ascii="仿宋" w:hAnsi="仿宋" w:eastAsia="仿宋" w:cs="仿宋"/>
          <w:b/>
          <w:bCs/>
          <w:sz w:val="32"/>
          <w:szCs w:val="32"/>
        </w:rPr>
      </w:pPr>
    </w:p>
    <w:p>
      <w:pPr>
        <w:rPr>
          <w:rFonts w:ascii="仿宋" w:hAnsi="仿宋" w:eastAsia="仿宋" w:cs="仿宋"/>
          <w:b/>
          <w:bCs/>
          <w:sz w:val="32"/>
          <w:szCs w:val="32"/>
        </w:rPr>
      </w:pPr>
    </w:p>
    <w:p>
      <w:pPr>
        <w:rPr>
          <w:rFonts w:ascii="仿宋" w:hAnsi="仿宋" w:eastAsia="仿宋" w:cs="仿宋"/>
          <w:b/>
          <w:bCs/>
          <w:sz w:val="32"/>
          <w:szCs w:val="32"/>
        </w:rPr>
      </w:pPr>
    </w:p>
    <w:p>
      <w:pPr>
        <w:rPr>
          <w:rFonts w:ascii="仿宋" w:hAnsi="仿宋" w:eastAsia="仿宋" w:cs="仿宋"/>
          <w:b/>
          <w:bCs/>
          <w:sz w:val="32"/>
          <w:szCs w:val="32"/>
        </w:rPr>
      </w:pPr>
    </w:p>
    <w:p>
      <w:pPr>
        <w:rPr>
          <w:rFonts w:ascii="仿宋" w:hAnsi="仿宋" w:eastAsia="仿宋" w:cs="仿宋"/>
          <w:b/>
          <w:bCs/>
          <w:sz w:val="32"/>
          <w:szCs w:val="32"/>
        </w:rPr>
      </w:pPr>
    </w:p>
    <w:sdt>
      <w:sdtPr>
        <w:rPr>
          <w:rFonts w:ascii="宋体" w:hAnsi="宋体"/>
          <w:b/>
          <w:bCs/>
          <w:sz w:val="28"/>
          <w:szCs w:val="36"/>
        </w:rPr>
        <w:id w:val="147459893"/>
        <w15:color w:val="DBDBDB"/>
        <w:docPartObj>
          <w:docPartGallery w:val="Table of Contents"/>
          <w:docPartUnique/>
        </w:docPartObj>
      </w:sdtPr>
      <w:sdtEndPr>
        <w:rPr>
          <w:rFonts w:ascii="Times New Roman" w:hAnsi="Times New Roman"/>
          <w:b/>
          <w:bCs/>
          <w:sz w:val="24"/>
          <w:szCs w:val="36"/>
        </w:rPr>
      </w:sdtEndPr>
      <w:sdtContent>
        <w:p>
          <w:pPr>
            <w:spacing w:line="240" w:lineRule="auto"/>
            <w:jc w:val="center"/>
            <w:rPr>
              <w:b/>
              <w:bCs/>
              <w:sz w:val="36"/>
              <w:szCs w:val="36"/>
            </w:rPr>
          </w:pPr>
          <w:r>
            <w:rPr>
              <w:rFonts w:ascii="宋体" w:hAnsi="宋体"/>
              <w:b/>
              <w:bCs/>
              <w:sz w:val="28"/>
              <w:szCs w:val="36"/>
            </w:rPr>
            <w:t>目</w:t>
          </w:r>
          <w:r>
            <w:rPr>
              <w:rFonts w:hint="eastAsia" w:ascii="宋体" w:hAnsi="宋体"/>
              <w:b/>
              <w:bCs/>
              <w:sz w:val="28"/>
              <w:szCs w:val="36"/>
              <w:lang w:val="en-US" w:eastAsia="zh-CN"/>
            </w:rPr>
            <w:t xml:space="preserve">  </w:t>
          </w:r>
          <w:r>
            <w:rPr>
              <w:rFonts w:ascii="宋体" w:hAnsi="宋体"/>
              <w:b/>
              <w:bCs/>
              <w:sz w:val="28"/>
              <w:szCs w:val="36"/>
            </w:rPr>
            <w:t>录</w:t>
          </w:r>
        </w:p>
        <w:p>
          <w:pPr>
            <w:pStyle w:val="10"/>
            <w:tabs>
              <w:tab w:val="right" w:leader="dot" w:pos="8306"/>
            </w:tabs>
          </w:pPr>
          <w:r>
            <w:fldChar w:fldCharType="begin"/>
          </w:r>
          <w:r>
            <w:instrText xml:space="preserve">TOC \o "1-2" \h \u </w:instrText>
          </w:r>
          <w:r>
            <w:fldChar w:fldCharType="separate"/>
          </w:r>
          <w:r>
            <w:fldChar w:fldCharType="begin"/>
          </w:r>
          <w:r>
            <w:instrText xml:space="preserve"> HYPERLINK \l _Toc14673 </w:instrText>
          </w:r>
          <w:r>
            <w:fldChar w:fldCharType="separate"/>
          </w:r>
          <w:r>
            <w:rPr>
              <w:rFonts w:hint="eastAsia"/>
            </w:rPr>
            <w:t>第一章  重大风险及重大事项提示</w:t>
          </w:r>
          <w:r>
            <w:tab/>
          </w:r>
          <w:r>
            <w:fldChar w:fldCharType="begin"/>
          </w:r>
          <w:r>
            <w:instrText xml:space="preserve"> PAGEREF _Toc14673 \h </w:instrText>
          </w:r>
          <w:r>
            <w:fldChar w:fldCharType="separate"/>
          </w:r>
          <w:r>
            <w:t>3</w:t>
          </w:r>
          <w:r>
            <w:fldChar w:fldCharType="end"/>
          </w:r>
          <w:r>
            <w:fldChar w:fldCharType="end"/>
          </w:r>
        </w:p>
        <w:p>
          <w:pPr>
            <w:pStyle w:val="11"/>
            <w:tabs>
              <w:tab w:val="right" w:leader="dot" w:pos="8306"/>
            </w:tabs>
          </w:pPr>
          <w:r>
            <w:fldChar w:fldCharType="begin"/>
          </w:r>
          <w:r>
            <w:instrText xml:space="preserve"> HYPERLINK \l _Toc21394 </w:instrText>
          </w:r>
          <w:r>
            <w:fldChar w:fldCharType="separate"/>
          </w:r>
          <w:r>
            <w:rPr>
              <w:rFonts w:hint="eastAsia"/>
              <w:bCs/>
              <w:szCs w:val="22"/>
            </w:rPr>
            <w:t>一、重大风险提示及应对措施</w:t>
          </w:r>
          <w:r>
            <w:tab/>
          </w:r>
          <w:r>
            <w:fldChar w:fldCharType="begin"/>
          </w:r>
          <w:r>
            <w:instrText xml:space="preserve"> PAGEREF _Toc21394 \h </w:instrText>
          </w:r>
          <w:r>
            <w:fldChar w:fldCharType="separate"/>
          </w:r>
          <w:r>
            <w:t>3</w:t>
          </w:r>
          <w:r>
            <w:fldChar w:fldCharType="end"/>
          </w:r>
          <w:r>
            <w:fldChar w:fldCharType="end"/>
          </w:r>
        </w:p>
        <w:p>
          <w:pPr>
            <w:pStyle w:val="11"/>
            <w:tabs>
              <w:tab w:val="right" w:leader="dot" w:pos="8306"/>
            </w:tabs>
          </w:pPr>
          <w:r>
            <w:fldChar w:fldCharType="begin"/>
          </w:r>
          <w:r>
            <w:instrText xml:space="preserve"> HYPERLINK \l _Toc6350 </w:instrText>
          </w:r>
          <w:r>
            <w:fldChar w:fldCharType="separate"/>
          </w:r>
          <w:r>
            <w:rPr>
              <w:rFonts w:hint="eastAsia"/>
            </w:rPr>
            <w:t>二、重大事项提示</w:t>
          </w:r>
          <w:r>
            <w:tab/>
          </w:r>
          <w:r>
            <w:fldChar w:fldCharType="begin"/>
          </w:r>
          <w:r>
            <w:instrText xml:space="preserve"> PAGEREF _Toc6350 \h </w:instrText>
          </w:r>
          <w:r>
            <w:fldChar w:fldCharType="separate"/>
          </w:r>
          <w:r>
            <w:t>4</w:t>
          </w:r>
          <w:r>
            <w:fldChar w:fldCharType="end"/>
          </w:r>
          <w:r>
            <w:fldChar w:fldCharType="end"/>
          </w:r>
        </w:p>
        <w:p>
          <w:pPr>
            <w:pStyle w:val="10"/>
            <w:tabs>
              <w:tab w:val="right" w:leader="dot" w:pos="8306"/>
            </w:tabs>
          </w:pPr>
          <w:r>
            <w:fldChar w:fldCharType="begin"/>
          </w:r>
          <w:r>
            <w:instrText xml:space="preserve"> HYPERLINK \l _Toc27407 </w:instrText>
          </w:r>
          <w:r>
            <w:fldChar w:fldCharType="separate"/>
          </w:r>
          <w:r>
            <w:rPr>
              <w:rFonts w:hint="eastAsia"/>
            </w:rPr>
            <w:t>第二章  公司基本情况</w:t>
          </w:r>
          <w:r>
            <w:tab/>
          </w:r>
          <w:r>
            <w:fldChar w:fldCharType="begin"/>
          </w:r>
          <w:r>
            <w:instrText xml:space="preserve"> PAGEREF _Toc27407 \h </w:instrText>
          </w:r>
          <w:r>
            <w:fldChar w:fldCharType="separate"/>
          </w:r>
          <w:r>
            <w:t>5</w:t>
          </w:r>
          <w:r>
            <w:fldChar w:fldCharType="end"/>
          </w:r>
          <w:r>
            <w:fldChar w:fldCharType="end"/>
          </w:r>
        </w:p>
        <w:p>
          <w:pPr>
            <w:pStyle w:val="11"/>
            <w:tabs>
              <w:tab w:val="right" w:leader="dot" w:pos="8306"/>
            </w:tabs>
          </w:pPr>
          <w:r>
            <w:fldChar w:fldCharType="begin"/>
          </w:r>
          <w:r>
            <w:instrText xml:space="preserve"> HYPERLINK \l _Toc13472 </w:instrText>
          </w:r>
          <w:r>
            <w:fldChar w:fldCharType="separate"/>
          </w:r>
          <w:r>
            <w:rPr>
              <w:rFonts w:hint="eastAsia"/>
            </w:rPr>
            <w:t>一、挂牌公司基本情况</w:t>
          </w:r>
          <w:r>
            <w:tab/>
          </w:r>
          <w:r>
            <w:fldChar w:fldCharType="begin"/>
          </w:r>
          <w:r>
            <w:instrText xml:space="preserve"> PAGEREF _Toc13472 \h </w:instrText>
          </w:r>
          <w:r>
            <w:fldChar w:fldCharType="separate"/>
          </w:r>
          <w:r>
            <w:t>5</w:t>
          </w:r>
          <w:r>
            <w:fldChar w:fldCharType="end"/>
          </w:r>
          <w:r>
            <w:fldChar w:fldCharType="end"/>
          </w:r>
        </w:p>
        <w:p>
          <w:pPr>
            <w:pStyle w:val="11"/>
            <w:tabs>
              <w:tab w:val="right" w:leader="dot" w:pos="8306"/>
            </w:tabs>
          </w:pPr>
          <w:r>
            <w:fldChar w:fldCharType="begin"/>
          </w:r>
          <w:r>
            <w:instrText xml:space="preserve"> HYPERLINK \l _Toc25697 </w:instrText>
          </w:r>
          <w:r>
            <w:fldChar w:fldCharType="separate"/>
          </w:r>
          <w:r>
            <w:rPr>
              <w:rFonts w:hint="eastAsia"/>
            </w:rPr>
            <w:t>二、公司目前股权结构及股东情况</w:t>
          </w:r>
          <w:r>
            <w:tab/>
          </w:r>
          <w:r>
            <w:fldChar w:fldCharType="begin"/>
          </w:r>
          <w:r>
            <w:instrText xml:space="preserve"> PAGEREF _Toc25697 \h </w:instrText>
          </w:r>
          <w:r>
            <w:fldChar w:fldCharType="separate"/>
          </w:r>
          <w:r>
            <w:t>6</w:t>
          </w:r>
          <w:r>
            <w:fldChar w:fldCharType="end"/>
          </w:r>
          <w:r>
            <w:fldChar w:fldCharType="end"/>
          </w:r>
        </w:p>
        <w:p>
          <w:pPr>
            <w:pStyle w:val="11"/>
            <w:tabs>
              <w:tab w:val="right" w:leader="dot" w:pos="8306"/>
            </w:tabs>
          </w:pPr>
          <w:r>
            <w:fldChar w:fldCharType="begin"/>
          </w:r>
          <w:r>
            <w:instrText xml:space="preserve"> HYPERLINK \l _Toc1910 </w:instrText>
          </w:r>
          <w:r>
            <w:fldChar w:fldCharType="separate"/>
          </w:r>
          <w:r>
            <w:rPr>
              <w:rFonts w:hint="eastAsia"/>
            </w:rPr>
            <w:t>三、公司组织结构</w:t>
          </w:r>
          <w:r>
            <w:tab/>
          </w:r>
          <w:r>
            <w:fldChar w:fldCharType="begin"/>
          </w:r>
          <w:r>
            <w:instrText xml:space="preserve"> PAGEREF _Toc1910 \h </w:instrText>
          </w:r>
          <w:r>
            <w:fldChar w:fldCharType="separate"/>
          </w:r>
          <w:r>
            <w:t>7</w:t>
          </w:r>
          <w:r>
            <w:fldChar w:fldCharType="end"/>
          </w:r>
          <w:r>
            <w:fldChar w:fldCharType="end"/>
          </w:r>
        </w:p>
        <w:p>
          <w:pPr>
            <w:pStyle w:val="11"/>
            <w:tabs>
              <w:tab w:val="right" w:leader="dot" w:pos="8306"/>
            </w:tabs>
          </w:pPr>
          <w:r>
            <w:fldChar w:fldCharType="begin"/>
          </w:r>
          <w:r>
            <w:instrText xml:space="preserve"> HYPERLINK \l _Toc16410 </w:instrText>
          </w:r>
          <w:r>
            <w:fldChar w:fldCharType="separate"/>
          </w:r>
          <w:r>
            <w:rPr>
              <w:rFonts w:hint="eastAsia"/>
            </w:rPr>
            <w:t>四、公司主营</w:t>
          </w:r>
          <w:r>
            <w:rPr>
              <w:rFonts w:hint="eastAsia"/>
              <w:lang w:val="en-US" w:eastAsia="zh-CN"/>
            </w:rPr>
            <w:t>产品及业务</w:t>
          </w:r>
          <w:r>
            <w:rPr>
              <w:rFonts w:hint="eastAsia"/>
            </w:rPr>
            <w:t>情况</w:t>
          </w:r>
          <w:r>
            <w:tab/>
          </w:r>
          <w:r>
            <w:fldChar w:fldCharType="begin"/>
          </w:r>
          <w:r>
            <w:instrText xml:space="preserve"> PAGEREF _Toc16410 \h </w:instrText>
          </w:r>
          <w:r>
            <w:fldChar w:fldCharType="separate"/>
          </w:r>
          <w:r>
            <w:t>7</w:t>
          </w:r>
          <w:r>
            <w:fldChar w:fldCharType="end"/>
          </w:r>
          <w:r>
            <w:fldChar w:fldCharType="end"/>
          </w:r>
        </w:p>
        <w:p>
          <w:pPr>
            <w:pStyle w:val="11"/>
            <w:tabs>
              <w:tab w:val="right" w:leader="dot" w:pos="8306"/>
            </w:tabs>
          </w:pPr>
          <w:r>
            <w:fldChar w:fldCharType="begin"/>
          </w:r>
          <w:r>
            <w:instrText xml:space="preserve"> HYPERLINK \l _Toc17843 </w:instrText>
          </w:r>
          <w:r>
            <w:fldChar w:fldCharType="separate"/>
          </w:r>
          <w:r>
            <w:rPr>
              <w:rFonts w:hint="eastAsia"/>
              <w:highlight w:val="none"/>
            </w:rPr>
            <w:t>五、公司财务报表简表</w:t>
          </w:r>
          <w:r>
            <w:tab/>
          </w:r>
          <w:r>
            <w:fldChar w:fldCharType="begin"/>
          </w:r>
          <w:r>
            <w:instrText xml:space="preserve"> PAGEREF _Toc17843 \h </w:instrText>
          </w:r>
          <w:r>
            <w:fldChar w:fldCharType="separate"/>
          </w:r>
          <w:r>
            <w:t>10</w:t>
          </w:r>
          <w:r>
            <w:fldChar w:fldCharType="end"/>
          </w:r>
          <w:r>
            <w:fldChar w:fldCharType="end"/>
          </w:r>
        </w:p>
        <w:p>
          <w:pPr>
            <w:pStyle w:val="11"/>
            <w:tabs>
              <w:tab w:val="right" w:leader="dot" w:pos="8306"/>
            </w:tabs>
          </w:pPr>
          <w:r>
            <w:fldChar w:fldCharType="begin"/>
          </w:r>
          <w:r>
            <w:instrText xml:space="preserve"> HYPERLINK \l _Toc9928 </w:instrText>
          </w:r>
          <w:r>
            <w:fldChar w:fldCharType="separate"/>
          </w:r>
          <w:r>
            <w:rPr>
              <w:rFonts w:hint="eastAsia"/>
            </w:rPr>
            <w:t>六、公司经营目标及计划</w:t>
          </w:r>
          <w:r>
            <w:tab/>
          </w:r>
          <w:r>
            <w:fldChar w:fldCharType="begin"/>
          </w:r>
          <w:r>
            <w:instrText xml:space="preserve"> PAGEREF _Toc9928 \h </w:instrText>
          </w:r>
          <w:r>
            <w:fldChar w:fldCharType="separate"/>
          </w:r>
          <w:r>
            <w:t>17</w:t>
          </w:r>
          <w:r>
            <w:fldChar w:fldCharType="end"/>
          </w:r>
          <w:r>
            <w:fldChar w:fldCharType="end"/>
          </w:r>
        </w:p>
        <w:p>
          <w:pPr>
            <w:pStyle w:val="10"/>
            <w:tabs>
              <w:tab w:val="right" w:leader="dot" w:pos="8306"/>
            </w:tabs>
          </w:pPr>
          <w:r>
            <w:fldChar w:fldCharType="begin"/>
          </w:r>
          <w:r>
            <w:instrText xml:space="preserve"> HYPERLINK \l _Toc27803 </w:instrText>
          </w:r>
          <w:r>
            <w:fldChar w:fldCharType="separate"/>
          </w:r>
          <w:r>
            <w:rPr>
              <w:rFonts w:hint="eastAsia"/>
            </w:rPr>
            <w:t>第三章 本次挂牌的有关机构</w:t>
          </w:r>
          <w:r>
            <w:tab/>
          </w:r>
          <w:r>
            <w:fldChar w:fldCharType="begin"/>
          </w:r>
          <w:r>
            <w:instrText xml:space="preserve"> PAGEREF _Toc27803 \h </w:instrText>
          </w:r>
          <w:r>
            <w:fldChar w:fldCharType="separate"/>
          </w:r>
          <w:r>
            <w:t>20</w:t>
          </w:r>
          <w:r>
            <w:fldChar w:fldCharType="end"/>
          </w:r>
          <w:r>
            <w:fldChar w:fldCharType="end"/>
          </w:r>
        </w:p>
        <w:p>
          <w:pPr>
            <w:pStyle w:val="11"/>
            <w:tabs>
              <w:tab w:val="right" w:leader="dot" w:pos="8306"/>
            </w:tabs>
          </w:pPr>
          <w:r>
            <w:fldChar w:fldCharType="begin"/>
          </w:r>
          <w:r>
            <w:instrText xml:space="preserve"> HYPERLINK \l _Toc25568 </w:instrText>
          </w:r>
          <w:r>
            <w:fldChar w:fldCharType="separate"/>
          </w:r>
          <w:r>
            <w:rPr>
              <w:rFonts w:hint="eastAsia" w:ascii="宋体" w:hAnsi="宋体"/>
              <w:bCs/>
              <w:szCs w:val="28"/>
            </w:rPr>
            <w:t>一、推荐机构</w:t>
          </w:r>
          <w:r>
            <w:tab/>
          </w:r>
          <w:r>
            <w:fldChar w:fldCharType="begin"/>
          </w:r>
          <w:r>
            <w:instrText xml:space="preserve"> PAGEREF _Toc25568 \h </w:instrText>
          </w:r>
          <w:r>
            <w:fldChar w:fldCharType="separate"/>
          </w:r>
          <w:r>
            <w:t>20</w:t>
          </w:r>
          <w:r>
            <w:fldChar w:fldCharType="end"/>
          </w:r>
          <w:r>
            <w:fldChar w:fldCharType="end"/>
          </w:r>
        </w:p>
        <w:p>
          <w:pPr>
            <w:pStyle w:val="11"/>
            <w:tabs>
              <w:tab w:val="right" w:leader="dot" w:pos="8306"/>
            </w:tabs>
          </w:pPr>
          <w:r>
            <w:fldChar w:fldCharType="begin"/>
          </w:r>
          <w:r>
            <w:instrText xml:space="preserve"> HYPERLINK \l _Toc22533 </w:instrText>
          </w:r>
          <w:r>
            <w:fldChar w:fldCharType="separate"/>
          </w:r>
          <w:r>
            <w:rPr>
              <w:rFonts w:hint="eastAsia" w:ascii="宋体" w:hAnsi="宋体"/>
              <w:bCs/>
              <w:szCs w:val="28"/>
              <w:highlight w:val="none"/>
            </w:rPr>
            <w:t>二、审计机构</w:t>
          </w:r>
          <w:r>
            <w:tab/>
          </w:r>
          <w:r>
            <w:fldChar w:fldCharType="begin"/>
          </w:r>
          <w:r>
            <w:instrText xml:space="preserve"> PAGEREF _Toc22533 \h </w:instrText>
          </w:r>
          <w:r>
            <w:fldChar w:fldCharType="separate"/>
          </w:r>
          <w:r>
            <w:t>20</w:t>
          </w:r>
          <w:r>
            <w:fldChar w:fldCharType="end"/>
          </w:r>
          <w:r>
            <w:fldChar w:fldCharType="end"/>
          </w:r>
        </w:p>
        <w:p>
          <w:pPr>
            <w:pStyle w:val="11"/>
            <w:tabs>
              <w:tab w:val="right" w:leader="dot" w:pos="8306"/>
            </w:tabs>
          </w:pPr>
          <w:r>
            <w:fldChar w:fldCharType="begin"/>
          </w:r>
          <w:r>
            <w:instrText xml:space="preserve"> HYPERLINK \l _Toc4398 </w:instrText>
          </w:r>
          <w:r>
            <w:fldChar w:fldCharType="separate"/>
          </w:r>
          <w:r>
            <w:rPr>
              <w:rFonts w:hint="eastAsia" w:ascii="宋体" w:hAnsi="宋体"/>
              <w:bCs/>
              <w:szCs w:val="28"/>
            </w:rPr>
            <w:t>三、股权登记托管机构</w:t>
          </w:r>
          <w:r>
            <w:tab/>
          </w:r>
          <w:r>
            <w:fldChar w:fldCharType="begin"/>
          </w:r>
          <w:r>
            <w:instrText xml:space="preserve"> PAGEREF _Toc4398 \h </w:instrText>
          </w:r>
          <w:r>
            <w:fldChar w:fldCharType="separate"/>
          </w:r>
          <w:r>
            <w:t>20</w:t>
          </w:r>
          <w:r>
            <w:fldChar w:fldCharType="end"/>
          </w:r>
          <w:r>
            <w:fldChar w:fldCharType="end"/>
          </w:r>
        </w:p>
        <w:p>
          <w:r>
            <w:fldChar w:fldCharType="end"/>
          </w:r>
        </w:p>
      </w:sdtContent>
    </w:sdt>
    <w:p>
      <w:bookmarkStart w:id="50" w:name="_GoBack"/>
      <w:bookmarkEnd w:id="50"/>
    </w:p>
    <w:p>
      <w:r>
        <w:br w:type="page"/>
      </w:r>
    </w:p>
    <w:p>
      <w:pPr>
        <w:pStyle w:val="2"/>
        <w:rPr>
          <w:rFonts w:ascii="仿宋" w:hAnsi="仿宋" w:eastAsia="仿宋" w:cs="仿宋"/>
          <w:bCs/>
          <w:szCs w:val="32"/>
        </w:rPr>
      </w:pPr>
      <w:bookmarkStart w:id="0" w:name="_Toc14673"/>
      <w:r>
        <w:rPr>
          <w:rFonts w:hint="eastAsia"/>
        </w:rPr>
        <w:t>第一章  重大风险及重大事项提示</w:t>
      </w:r>
      <w:bookmarkEnd w:id="0"/>
    </w:p>
    <w:p>
      <w:pPr>
        <w:pStyle w:val="3"/>
        <w:bidi w:val="0"/>
        <w:rPr>
          <w:rFonts w:hint="eastAsia"/>
          <w:b w:val="0"/>
          <w:bCs/>
          <w:sz w:val="24"/>
          <w:szCs w:val="22"/>
        </w:rPr>
      </w:pPr>
      <w:bookmarkStart w:id="1" w:name="_Toc21394"/>
      <w:bookmarkStart w:id="2" w:name="_Toc245701698"/>
      <w:bookmarkStart w:id="3" w:name="_Toc236206525"/>
      <w:bookmarkStart w:id="4" w:name="_Toc236113128"/>
      <w:bookmarkStart w:id="5" w:name="_Toc16996"/>
      <w:bookmarkStart w:id="6" w:name="_Toc280345465"/>
      <w:bookmarkStart w:id="7" w:name="_Toc236113885"/>
      <w:r>
        <w:rPr>
          <w:rFonts w:hint="eastAsia"/>
          <w:b w:val="0"/>
          <w:bCs/>
          <w:sz w:val="24"/>
          <w:szCs w:val="22"/>
        </w:rPr>
        <w:t>一、重大风险提示及应对措施</w:t>
      </w:r>
      <w:bookmarkEnd w:id="1"/>
    </w:p>
    <w:p>
      <w:pPr>
        <w:ind w:firstLine="480"/>
        <w:rPr>
          <w:rFonts w:hint="eastAsia"/>
        </w:rPr>
      </w:pPr>
      <w:r>
        <w:rPr>
          <w:rFonts w:hint="eastAsia"/>
        </w:rPr>
        <w:t>投资本公司的股权会涉及一系列的风险，因此，投资者在投资前，敬请将下列风险因素连同本挂牌转让说明书中其他内容一并考虑。下列风险因素是按照影响投资决策程度排序的，但该排序并不表示风险因素会依次发生。</w:t>
      </w:r>
    </w:p>
    <w:p>
      <w:pPr>
        <w:ind w:firstLine="480"/>
        <w:rPr>
          <w:rFonts w:hint="eastAsia"/>
          <w:b/>
          <w:bCs/>
        </w:rPr>
      </w:pPr>
      <w:r>
        <w:rPr>
          <w:rFonts w:hint="eastAsia"/>
          <w:b/>
          <w:bCs/>
        </w:rPr>
        <w:t>（一）实际控制人不当控制风险</w:t>
      </w:r>
    </w:p>
    <w:p>
      <w:pPr>
        <w:ind w:firstLine="480"/>
        <w:rPr>
          <w:rFonts w:hint="eastAsia"/>
          <w:b/>
          <w:bCs/>
        </w:rPr>
      </w:pPr>
      <w:r>
        <w:rPr>
          <w:rFonts w:hint="eastAsia"/>
          <w:b/>
          <w:bCs/>
        </w:rPr>
        <w:t>向德庆直接持有本公司69%的股权，是公司的控股股东。对公司发展战略、经营决策、人事安排、利润分配、关联交易和对外投资等重大事项具有较大的决定权。因此，公司正逐步建立并完善实控人治理结构，规范公司组织架构，减少实控人行使表决权对公司的经营、人事、财务等进行不当控制，影响公司经营和损害其他股东的风险。</w:t>
      </w:r>
    </w:p>
    <w:p>
      <w:pPr>
        <w:ind w:firstLine="480"/>
        <w:rPr>
          <w:rFonts w:hint="eastAsia"/>
          <w:b/>
          <w:bCs/>
        </w:rPr>
      </w:pPr>
      <w:r>
        <w:rPr>
          <w:rFonts w:hint="eastAsia"/>
          <w:b/>
          <w:bCs/>
        </w:rPr>
        <w:t>（二）市场竞争加剧风险</w:t>
      </w:r>
    </w:p>
    <w:p>
      <w:pPr>
        <w:ind w:firstLine="480"/>
        <w:rPr>
          <w:rFonts w:hint="eastAsia"/>
          <w:b/>
          <w:bCs/>
        </w:rPr>
      </w:pPr>
      <w:r>
        <w:rPr>
          <w:rFonts w:hint="eastAsia"/>
          <w:b/>
          <w:bCs/>
        </w:rPr>
        <w:t>化工产品贸易是一个竞争非常激烈的行业，但公司上下游客户合作稳定，在行业中树立了良好的商业信誉，赢得了众多客户的信赖与支持。如果公司未来不能进一步提升生产效率及能力和经营管理水平，则有可能面临因行业竞争加剧而导致的竞争地位下降的风险。</w:t>
      </w:r>
    </w:p>
    <w:p>
      <w:pPr>
        <w:ind w:firstLine="480"/>
        <w:rPr>
          <w:rFonts w:hint="eastAsia"/>
          <w:b/>
          <w:bCs/>
        </w:rPr>
      </w:pPr>
      <w:r>
        <w:rPr>
          <w:rFonts w:hint="eastAsia"/>
          <w:b/>
          <w:bCs/>
        </w:rPr>
        <w:t>对此，公司特构建优秀销售团队，提升团队执行力，树立良好的商业信誉，铸造品牌形象，提高产品竞争力，优化整合内外资源，实现价值链最大化，积累产业链上、下游稳定供应商及客户源，增加自身的行业竞争力。</w:t>
      </w:r>
    </w:p>
    <w:p>
      <w:pPr>
        <w:ind w:firstLine="480"/>
        <w:rPr>
          <w:rFonts w:hint="eastAsia"/>
          <w:b/>
          <w:bCs/>
        </w:rPr>
      </w:pPr>
      <w:r>
        <w:rPr>
          <w:rFonts w:hint="eastAsia"/>
          <w:b/>
          <w:bCs/>
        </w:rPr>
        <w:t>（三）公司治理风险</w:t>
      </w:r>
    </w:p>
    <w:p>
      <w:pPr>
        <w:ind w:firstLine="480"/>
        <w:rPr>
          <w:rFonts w:hint="eastAsia"/>
          <w:b/>
          <w:bCs/>
        </w:rPr>
      </w:pPr>
      <w:r>
        <w:rPr>
          <w:rFonts w:hint="eastAsia"/>
          <w:b/>
          <w:bCs/>
        </w:rPr>
        <w:t>公司目前处于成长期，机构架设较为简单，内部管理较为稳定，但随着公司资产规模和经营规模不断扩大，员工人数及组织机构日益扩大，经营决策、组织管理、风险控制的难度将加大。管理团队若不能适应营业规模、业务和资产规模扩张而相应提高管理水平，采取相应对策，存在一定的内部管理风险。对此，公司逐步建立健全了实控人治理机构，制定了适应企业现阶段发展的内部控制体系。</w:t>
      </w:r>
    </w:p>
    <w:p>
      <w:pPr>
        <w:ind w:firstLine="480"/>
        <w:rPr>
          <w:rFonts w:hint="eastAsia"/>
          <w:b/>
          <w:bCs/>
        </w:rPr>
      </w:pPr>
      <w:r>
        <w:rPr>
          <w:rFonts w:hint="eastAsia"/>
          <w:b/>
          <w:bCs/>
        </w:rPr>
        <w:t>（四）供应商管理风险</w:t>
      </w:r>
    </w:p>
    <w:p>
      <w:pPr>
        <w:ind w:firstLine="480"/>
        <w:rPr>
          <w:rFonts w:hint="eastAsia"/>
          <w:b/>
          <w:bCs/>
        </w:rPr>
      </w:pPr>
      <w:r>
        <w:rPr>
          <w:rFonts w:hint="eastAsia"/>
          <w:b/>
          <w:bCs/>
        </w:rPr>
        <w:t>公司存在部分自然人供应商和客户。一般情况下，与机构供应商相比较而言，自然人供应商在采购能力、支付能力、经营期限、经营规模和经营拓展能力等方面更容易受到市场优胜劣汰竞争机制和自身经营意愿的影响，从而导致其经营能力具有一定的局限性，如果公司对供应商选择不当、管理不善，有可能出现产品质量不达标或不能准时交货等问题，这将影响公司的信誉，给公司带来一定的风险。</w:t>
      </w:r>
    </w:p>
    <w:p>
      <w:pPr>
        <w:ind w:firstLine="480"/>
        <w:rPr>
          <w:rFonts w:hint="eastAsia"/>
          <w:b/>
          <w:bCs/>
        </w:rPr>
      </w:pPr>
      <w:r>
        <w:rPr>
          <w:rFonts w:hint="eastAsia"/>
          <w:b/>
          <w:bCs/>
        </w:rPr>
        <w:t>为此，公司对上游供应商不断进行筛选，淘汰小批量自然人供应商，保障材料供应基本以机构供应商为主。</w:t>
      </w:r>
    </w:p>
    <w:p>
      <w:pPr>
        <w:ind w:firstLine="480"/>
        <w:rPr>
          <w:rFonts w:hint="eastAsia"/>
          <w:b/>
          <w:bCs/>
        </w:rPr>
      </w:pPr>
      <w:r>
        <w:rPr>
          <w:rFonts w:hint="eastAsia"/>
          <w:b/>
          <w:bCs/>
        </w:rPr>
        <w:t xml:space="preserve">（五）内部管理风险 </w:t>
      </w:r>
    </w:p>
    <w:p>
      <w:pPr>
        <w:ind w:firstLine="480"/>
        <w:rPr>
          <w:b/>
          <w:bCs/>
        </w:rPr>
      </w:pPr>
      <w:r>
        <w:rPr>
          <w:rFonts w:hint="eastAsia"/>
          <w:b/>
          <w:bCs/>
        </w:rPr>
        <w:t>公司成立后，建立健全了实控人治理结构，完善了现代化企业发展的内部控制体系，并陆续推出各项内部控制制度及相关细则。但是，由于部分管理制度的执行尚未经过实践检验，公司治理和内部控制体系也需要在生产经营过程中逐步完善，并且，随着公司的快速发展，经营规模的不断扩大，对公司治理结构的要求将会越来越高。若公司未能逐步完善治理结构，提升内部管理水平，可能在未来经营中因内部管理跟不上公司发展而影响公司的持续稳定发展。为此，公司积极完善公司内部治理结构，建立了全方位的内部管理监督流程以规避内部管理失误带来的风险。</w:t>
      </w:r>
    </w:p>
    <w:bookmarkEnd w:id="2"/>
    <w:bookmarkEnd w:id="3"/>
    <w:bookmarkEnd w:id="4"/>
    <w:bookmarkEnd w:id="5"/>
    <w:bookmarkEnd w:id="6"/>
    <w:bookmarkEnd w:id="7"/>
    <w:p>
      <w:pPr>
        <w:pStyle w:val="3"/>
        <w:ind w:left="480"/>
        <w:rPr>
          <w:rFonts w:ascii="仿宋" w:hAnsi="仿宋" w:eastAsia="仿宋" w:cs="仿宋"/>
        </w:rPr>
      </w:pPr>
      <w:bookmarkStart w:id="8" w:name="_Toc23392_WPSOffice_Level2"/>
      <w:bookmarkStart w:id="9" w:name="_Toc25004"/>
      <w:bookmarkStart w:id="10" w:name="_Toc6350"/>
      <w:bookmarkStart w:id="11" w:name="_Toc5420"/>
      <w:bookmarkStart w:id="12" w:name="_Toc1711"/>
      <w:r>
        <w:rPr>
          <w:rFonts w:hint="eastAsia"/>
        </w:rPr>
        <w:t>二、重大事项提示</w:t>
      </w:r>
      <w:bookmarkEnd w:id="8"/>
      <w:bookmarkEnd w:id="9"/>
      <w:bookmarkEnd w:id="10"/>
      <w:bookmarkEnd w:id="11"/>
      <w:bookmarkEnd w:id="12"/>
    </w:p>
    <w:p>
      <w:pPr>
        <w:ind w:firstLine="480" w:firstLineChars="200"/>
        <w:outlineLvl w:val="2"/>
        <w:rPr>
          <w:rStyle w:val="20"/>
          <w:b w:val="0"/>
          <w:bCs w:val="0"/>
          <w:sz w:val="24"/>
          <w:szCs w:val="20"/>
        </w:rPr>
      </w:pPr>
      <w:r>
        <w:rPr>
          <w:rStyle w:val="20"/>
          <w:b w:val="0"/>
          <w:bCs w:val="0"/>
          <w:sz w:val="24"/>
          <w:szCs w:val="20"/>
        </w:rPr>
        <w:t>（一）股东关于自愿锁定股权的承诺</w:t>
      </w:r>
    </w:p>
    <w:p>
      <w:pPr>
        <w:ind w:firstLine="480" w:firstLineChars="200"/>
      </w:pPr>
      <w:r>
        <w:rPr>
          <w:rFonts w:hint="eastAsia"/>
        </w:rPr>
        <w:t>公司股东</w:t>
      </w:r>
      <w:r>
        <w:rPr>
          <w:rFonts w:hint="eastAsia"/>
          <w:lang w:val="en-US" w:eastAsia="zh-CN"/>
        </w:rPr>
        <w:t>向德庆、何恒广</w:t>
      </w:r>
      <w:r>
        <w:rPr>
          <w:rFonts w:hint="eastAsia"/>
        </w:rPr>
        <w:t>承诺：“自</w:t>
      </w:r>
      <w:r>
        <w:rPr>
          <w:rFonts w:hint="eastAsia"/>
          <w:lang w:eastAsia="zh-CN"/>
        </w:rPr>
        <w:t>淄博德昶泰经贸有限公司</w:t>
      </w:r>
      <w:r>
        <w:rPr>
          <w:rFonts w:hint="eastAsia"/>
        </w:rPr>
        <w:t xml:space="preserve">挂牌成功之日起十二个月内，不转让或者委托他人管理其持有的公司股份，也不由公司收购该部分股份。” </w:t>
      </w:r>
    </w:p>
    <w:p>
      <w:pPr>
        <w:ind w:firstLine="480" w:firstLineChars="200"/>
        <w:outlineLvl w:val="2"/>
        <w:rPr>
          <w:rStyle w:val="20"/>
          <w:b w:val="0"/>
          <w:bCs w:val="0"/>
          <w:sz w:val="24"/>
          <w:szCs w:val="24"/>
        </w:rPr>
      </w:pPr>
      <w:r>
        <w:rPr>
          <w:rStyle w:val="20"/>
          <w:rFonts w:hint="eastAsia"/>
          <w:b w:val="0"/>
          <w:bCs w:val="0"/>
          <w:sz w:val="24"/>
          <w:szCs w:val="24"/>
        </w:rPr>
        <w:t>（二）股利分配政策</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rPr>
      </w:pPr>
      <w:r>
        <w:rPr>
          <w:rFonts w:hint="eastAsia"/>
        </w:rPr>
        <w:t xml:space="preserve">根据《公司法》等法律法规，公司股权挂牌后适用的《公司章程》，此次股权挂牌后，公司的股利分配政策如下： </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rPr>
      </w:pPr>
      <w:r>
        <w:rPr>
          <w:rFonts w:hint="eastAsia"/>
        </w:rPr>
        <w:t>1、决策机制与程序：公司的利润分配政策和具体股利分配方案需经公司股东会研讨后由公司执行董事审核批准；执行董事在制订利润分配政策、股利分配方案时应充分考虑其他股东、监事会和公司管理层的意见。</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rPr>
      </w:pPr>
      <w:r>
        <w:rPr>
          <w:rFonts w:hint="eastAsia"/>
        </w:rPr>
        <w:t>2、利润的分配形式：公司可采取现金、股份或者现金股份相结合的方式分配股利。公司将优先考虑采取现金方式分配股利；若公司增长快速，在考虑实际经营情况的基础上，可采取股份或者现金股份相结合的方式分配股利。</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rPr>
      </w:pPr>
      <w:r>
        <w:rPr>
          <w:rFonts w:hint="eastAsia"/>
        </w:rPr>
        <w:t>3、公司根据外部经营环境或者自身经营状况对利润分配政策进行调整的，调整后的利润分配政策不得违反齐鲁股权交易中心有关规定，有关调整利润分配政策的议案需经公司股东会研讨后由公司执行董事审核批准。</w:t>
      </w:r>
    </w:p>
    <w:p>
      <w:pPr>
        <w:pStyle w:val="2"/>
      </w:pPr>
      <w:bookmarkStart w:id="13" w:name="_Toc27407"/>
      <w:r>
        <w:rPr>
          <w:rFonts w:hint="eastAsia"/>
        </w:rPr>
        <w:t>第二章  公司基本情况</w:t>
      </w:r>
      <w:bookmarkEnd w:id="13"/>
    </w:p>
    <w:p>
      <w:pPr>
        <w:pStyle w:val="3"/>
        <w:ind w:left="480"/>
      </w:pPr>
      <w:bookmarkStart w:id="14" w:name="_Toc13472"/>
      <w:r>
        <w:rPr>
          <w:rFonts w:hint="eastAsia"/>
        </w:rPr>
        <w:t>一、挂牌公司基本情况</w:t>
      </w:r>
      <w:bookmarkEnd w:id="14"/>
    </w:p>
    <w:p>
      <w:pPr>
        <w:ind w:firstLine="480"/>
        <w:rPr>
          <w:rFonts w:hint="eastAsia" w:ascii="宋体" w:hAnsi="宋体" w:eastAsia="宋体"/>
          <w:highlight w:val="none"/>
          <w:lang w:eastAsia="zh-CN"/>
        </w:rPr>
      </w:pPr>
      <w:r>
        <w:rPr>
          <w:rFonts w:hint="eastAsia" w:ascii="宋体" w:hAnsi="宋体"/>
        </w:rPr>
        <w:t>公司名称：</w:t>
      </w:r>
      <w:r>
        <w:rPr>
          <w:rFonts w:hint="eastAsia" w:ascii="宋体" w:hAnsi="宋体"/>
          <w:lang w:eastAsia="zh-CN"/>
        </w:rPr>
        <w:t>淄博德昶泰经贸有限公司</w:t>
      </w:r>
    </w:p>
    <w:p>
      <w:pPr>
        <w:ind w:firstLine="480"/>
        <w:rPr>
          <w:rFonts w:ascii="宋体" w:hAnsi="宋体"/>
          <w:highlight w:val="none"/>
        </w:rPr>
      </w:pPr>
      <w:r>
        <w:rPr>
          <w:rFonts w:hint="eastAsia" w:ascii="宋体" w:hAnsi="宋体"/>
          <w:highlight w:val="none"/>
        </w:rPr>
        <w:t>注册资本：</w:t>
      </w:r>
      <w:r>
        <w:rPr>
          <w:rFonts w:ascii="宋体" w:hAnsi="宋体"/>
          <w:highlight w:val="none"/>
        </w:rPr>
        <w:t xml:space="preserve"> </w:t>
      </w:r>
      <w:r>
        <w:rPr>
          <w:rFonts w:hint="eastAsia" w:ascii="宋体" w:hAnsi="宋体"/>
          <w:highlight w:val="none"/>
          <w:lang w:val="en-US" w:eastAsia="zh-CN"/>
        </w:rPr>
        <w:t>500</w:t>
      </w:r>
      <w:r>
        <w:rPr>
          <w:rFonts w:hint="eastAsia" w:ascii="宋体" w:hAnsi="宋体"/>
          <w:highlight w:val="none"/>
        </w:rPr>
        <w:t>万元人民币</w:t>
      </w:r>
    </w:p>
    <w:p>
      <w:pPr>
        <w:tabs>
          <w:tab w:val="left" w:pos="6379"/>
        </w:tabs>
        <w:ind w:firstLine="480"/>
        <w:rPr>
          <w:rFonts w:ascii="宋体" w:hAnsi="宋体"/>
          <w:highlight w:val="none"/>
        </w:rPr>
      </w:pPr>
      <w:r>
        <w:rPr>
          <w:rFonts w:hint="eastAsia" w:ascii="宋体" w:hAnsi="宋体"/>
          <w:highlight w:val="none"/>
        </w:rPr>
        <w:t>实收资本：</w:t>
      </w:r>
      <w:r>
        <w:rPr>
          <w:rFonts w:hint="eastAsia" w:ascii="宋体" w:hAnsi="宋体"/>
          <w:highlight w:val="none"/>
          <w:lang w:val="en-US" w:eastAsia="zh-CN"/>
        </w:rPr>
        <w:t xml:space="preserve"> 50</w:t>
      </w:r>
      <w:r>
        <w:rPr>
          <w:rFonts w:hint="eastAsia" w:ascii="宋体" w:hAnsi="宋体"/>
          <w:highlight w:val="none"/>
        </w:rPr>
        <w:t>万元人民币</w:t>
      </w:r>
    </w:p>
    <w:p>
      <w:pPr>
        <w:tabs>
          <w:tab w:val="left" w:pos="6379"/>
        </w:tabs>
        <w:ind w:firstLine="480"/>
        <w:rPr>
          <w:rFonts w:hint="eastAsia" w:ascii="宋体" w:hAnsi="宋体" w:eastAsia="宋体"/>
          <w:lang w:eastAsia="zh-CN"/>
        </w:rPr>
      </w:pPr>
      <w:r>
        <w:rPr>
          <w:rFonts w:hint="eastAsia" w:ascii="宋体" w:hAnsi="宋体"/>
          <w:highlight w:val="none"/>
        </w:rPr>
        <w:t>法定代表人：</w:t>
      </w:r>
      <w:r>
        <w:rPr>
          <w:rFonts w:hint="eastAsia" w:ascii="宋体" w:hAnsi="宋体"/>
          <w:lang w:val="en-US" w:eastAsia="zh-CN"/>
        </w:rPr>
        <w:t>何恒广</w:t>
      </w:r>
    </w:p>
    <w:p>
      <w:pPr>
        <w:ind w:firstLine="480"/>
        <w:rPr>
          <w:rFonts w:ascii="宋体" w:hAnsi="宋体"/>
        </w:rPr>
      </w:pPr>
      <w:r>
        <w:rPr>
          <w:rFonts w:hint="eastAsia" w:ascii="宋体" w:hAnsi="宋体"/>
        </w:rPr>
        <w:t>统一社会信用代码：9137030378716469XX</w:t>
      </w:r>
    </w:p>
    <w:p>
      <w:pPr>
        <w:ind w:firstLine="480"/>
        <w:rPr>
          <w:rFonts w:hint="default" w:ascii="宋体" w:hAnsi="宋体" w:eastAsia="宋体"/>
          <w:lang w:val="en-US" w:eastAsia="zh-CN"/>
        </w:rPr>
      </w:pPr>
      <w:r>
        <w:rPr>
          <w:rFonts w:hint="eastAsia" w:ascii="宋体" w:hAnsi="宋体"/>
        </w:rPr>
        <w:t>成立日期：</w:t>
      </w:r>
      <w:r>
        <w:rPr>
          <w:rFonts w:hint="eastAsia" w:ascii="宋体" w:hAnsi="宋体"/>
          <w:lang w:val="en-US" w:eastAsia="zh-CN"/>
        </w:rPr>
        <w:t>2006-3-31</w:t>
      </w:r>
    </w:p>
    <w:p>
      <w:pPr>
        <w:ind w:firstLine="480"/>
        <w:rPr>
          <w:rFonts w:ascii="宋体" w:hAnsi="宋体"/>
        </w:rPr>
      </w:pPr>
      <w:r>
        <w:rPr>
          <w:rFonts w:hint="eastAsia" w:ascii="宋体" w:hAnsi="宋体"/>
        </w:rPr>
        <w:t xml:space="preserve">住所：山东省淄博市高新区中润大道129号313室 </w:t>
      </w:r>
    </w:p>
    <w:p>
      <w:pPr>
        <w:ind w:firstLine="480"/>
        <w:rPr>
          <w:rFonts w:ascii="宋体" w:hAnsi="宋体"/>
        </w:rPr>
      </w:pPr>
      <w:r>
        <w:rPr>
          <w:rFonts w:hint="eastAsia" w:ascii="宋体" w:hAnsi="宋体"/>
        </w:rPr>
        <w:t>经营范围</w:t>
      </w:r>
      <w:bookmarkStart w:id="15" w:name="_Hlk22721649"/>
      <w:r>
        <w:rPr>
          <w:rFonts w:hint="eastAsia" w:ascii="宋体" w:hAnsi="宋体"/>
        </w:rPr>
        <w:t>：</w:t>
      </w:r>
      <w:bookmarkEnd w:id="15"/>
      <w:r>
        <w:rPr>
          <w:rFonts w:hint="eastAsia" w:ascii="宋体" w:hAnsi="宋体"/>
        </w:rPr>
        <w:t>危险化学品经营。（依法须经批准的项目，经相关部门批准后方可开展经营活动，具体经营项目以相关部门批准文件或许可证件为准）一般项目：化工产品销售（不含许可类化工产品）；专用化学产品销售（不含危险化学品）；建筑材料销售；五金产品批发；非金属矿及制品销售；劳动保护用品销售；日用百货销售；电子产品销售；农副产品销售；信息咨询服务（不含许可类信息咨询服务）；环境保护专用设备销售；环保咨询服务；农林牧副渔业专业机械的安装、维修；农、林、牧、副、渔业专业机械的销售；农业机械销售；有色金属合金销售；煤炭及制品销售；金属矿石销售；选矿；技术服务、技术开发、技术咨询、技术交流、技术转让、技术推广。（除依法须经批准的项目外，凭营业执照依法自主开展经营活动）。</w:t>
      </w:r>
    </w:p>
    <w:p>
      <w:pPr>
        <w:ind w:firstLine="480"/>
        <w:rPr>
          <w:rFonts w:hint="default" w:ascii="宋体" w:hAnsi="宋体" w:eastAsia="宋体"/>
          <w:lang w:val="en-US" w:eastAsia="zh-CN"/>
        </w:rPr>
      </w:pPr>
      <w:r>
        <w:rPr>
          <w:rFonts w:hint="eastAsia" w:ascii="宋体" w:hAnsi="宋体"/>
        </w:rPr>
        <w:t>主要产品：</w:t>
      </w:r>
      <w:r>
        <w:rPr>
          <w:rFonts w:hint="eastAsia" w:ascii="宋体" w:hAnsi="宋体"/>
          <w:lang w:val="en-US" w:eastAsia="zh-CN"/>
        </w:rPr>
        <w:t>基本有机化工原料及基础化工产品</w:t>
      </w:r>
    </w:p>
    <w:p>
      <w:pPr>
        <w:ind w:firstLine="480"/>
        <w:rPr>
          <w:rFonts w:ascii="宋体" w:hAnsi="宋体"/>
        </w:rPr>
      </w:pPr>
      <w:r>
        <w:rPr>
          <w:rFonts w:hint="eastAsia" w:ascii="宋体" w:hAnsi="宋体"/>
        </w:rPr>
        <w:t>邮政编码：255000</w:t>
      </w:r>
    </w:p>
    <w:p>
      <w:pPr>
        <w:ind w:firstLine="480"/>
        <w:rPr>
          <w:rFonts w:ascii="宋体" w:hAnsi="宋体"/>
        </w:rPr>
      </w:pPr>
      <w:r>
        <w:rPr>
          <w:rFonts w:hint="eastAsia" w:ascii="宋体" w:hAnsi="宋体"/>
        </w:rPr>
        <w:t>电子邮箱：340661617@qq.com</w:t>
      </w:r>
    </w:p>
    <w:p>
      <w:pPr>
        <w:ind w:firstLine="480"/>
        <w:rPr>
          <w:rFonts w:hint="default" w:ascii="宋体" w:hAnsi="宋体" w:eastAsia="宋体"/>
          <w:lang w:val="en-US" w:eastAsia="zh-CN"/>
        </w:rPr>
      </w:pPr>
      <w:r>
        <w:rPr>
          <w:rFonts w:hint="eastAsia" w:ascii="宋体" w:hAnsi="宋体"/>
        </w:rPr>
        <w:t>电话：18</w:t>
      </w:r>
      <w:r>
        <w:rPr>
          <w:rFonts w:hint="eastAsia" w:ascii="宋体" w:hAnsi="宋体"/>
          <w:lang w:val="en-US" w:eastAsia="zh-CN"/>
        </w:rPr>
        <w:t>560713360</w:t>
      </w:r>
    </w:p>
    <w:p>
      <w:pPr>
        <w:ind w:firstLine="480"/>
        <w:rPr>
          <w:rFonts w:ascii="宋体" w:hAnsi="宋体"/>
        </w:rPr>
      </w:pPr>
      <w:r>
        <w:rPr>
          <w:rFonts w:hint="eastAsia" w:ascii="宋体" w:hAnsi="宋体"/>
        </w:rPr>
        <w:t>传真：无</w:t>
      </w:r>
    </w:p>
    <w:p>
      <w:pPr>
        <w:ind w:firstLine="480"/>
        <w:rPr>
          <w:rFonts w:hint="default" w:ascii="宋体" w:hAnsi="宋体" w:eastAsia="宋体"/>
          <w:lang w:val="en-US" w:eastAsia="zh-CN"/>
        </w:rPr>
      </w:pPr>
      <w:r>
        <w:rPr>
          <w:rFonts w:hint="eastAsia" w:ascii="宋体" w:hAnsi="宋体"/>
        </w:rPr>
        <w:t>信息披露事务负责人：</w:t>
      </w:r>
      <w:r>
        <w:rPr>
          <w:rFonts w:hint="eastAsia" w:ascii="宋体" w:hAnsi="宋体"/>
          <w:lang w:val="en-US" w:eastAsia="zh-CN"/>
        </w:rPr>
        <w:t>王月皎</w:t>
      </w:r>
    </w:p>
    <w:p>
      <w:pPr>
        <w:ind w:firstLine="480"/>
        <w:rPr>
          <w:rFonts w:hint="eastAsia" w:ascii="宋体" w:hAnsi="宋体"/>
          <w:lang w:val="en-US" w:eastAsia="zh-CN"/>
        </w:rPr>
      </w:pPr>
      <w:bookmarkStart w:id="16" w:name="_Hlk49386094"/>
      <w:r>
        <w:rPr>
          <w:rFonts w:hint="eastAsia" w:ascii="宋体" w:hAnsi="宋体"/>
          <w:lang w:val="en-US" w:eastAsia="zh-CN"/>
        </w:rPr>
        <w:t>淄博德昶泰经贸有限公司成立于2006年3月31日，位于山东省淄博市高新区中润大道129号313室，专业从事基本有机化工原料及基础化工产品贸易。</w:t>
      </w:r>
    </w:p>
    <w:bookmarkEnd w:id="16"/>
    <w:p>
      <w:pPr>
        <w:ind w:firstLine="480"/>
        <w:rPr>
          <w:rFonts w:ascii="宋体" w:hAnsi="宋体"/>
        </w:rPr>
      </w:pPr>
      <w:r>
        <w:rPr>
          <w:rFonts w:hint="eastAsia" w:ascii="宋体" w:hAnsi="宋体"/>
          <w:lang w:val="en-US" w:eastAsia="zh-CN"/>
        </w:rPr>
        <w:t>自成立以来，公司终坚持以质量求生存，以信誉求发展的宗旨，秉承“质量第一、信誉至上”的经营宗旨，始终坚持“以客户为中心，为客户创造价值”的核心价值观，灵活运用自身丰富的市场经验、专业的产品知识，诚挚地为客户及供应商服务</w:t>
      </w:r>
      <w:r>
        <w:rPr>
          <w:rFonts w:hint="eastAsia" w:ascii="宋体" w:hAnsi="宋体"/>
          <w:lang w:eastAsia="zh-CN"/>
        </w:rPr>
        <w:t>。</w:t>
      </w:r>
    </w:p>
    <w:p>
      <w:pPr>
        <w:pStyle w:val="3"/>
        <w:ind w:left="480"/>
        <w:rPr>
          <w:rFonts w:ascii="仿宋" w:hAnsi="仿宋" w:eastAsia="仿宋" w:cs="仿宋"/>
          <w:szCs w:val="32"/>
        </w:rPr>
      </w:pPr>
      <w:bookmarkStart w:id="17" w:name="_Toc25697"/>
      <w:r>
        <w:rPr>
          <w:rFonts w:hint="eastAsia"/>
        </w:rPr>
        <w:t>二、公司目前股权结构及股东情况</w:t>
      </w:r>
      <w:bookmarkEnd w:id="17"/>
    </w:p>
    <w:p>
      <w:pPr>
        <w:ind w:firstLine="480" w:firstLineChars="200"/>
      </w:pPr>
      <w:bookmarkStart w:id="18" w:name="_Toc228433056"/>
      <w:bookmarkStart w:id="19" w:name="_Toc228431325"/>
      <w:bookmarkStart w:id="20" w:name="_Toc228505923"/>
      <w:bookmarkStart w:id="21" w:name="_Toc229469622"/>
      <w:bookmarkStart w:id="22" w:name="_Toc27074"/>
      <w:r>
        <w:rPr>
          <w:rFonts w:hint="eastAsia"/>
        </w:rPr>
        <w:t>（一）股权结构</w:t>
      </w:r>
      <w:bookmarkEnd w:id="18"/>
      <w:bookmarkEnd w:id="19"/>
      <w:bookmarkEnd w:id="20"/>
      <w:bookmarkEnd w:id="21"/>
      <w:r>
        <w:rPr>
          <w:rFonts w:hint="eastAsia"/>
        </w:rPr>
        <w:t>图</w:t>
      </w:r>
      <w:bookmarkStart w:id="23" w:name="_Toc236206515"/>
      <w:bookmarkStart w:id="24" w:name="_Toc236113875"/>
      <w:bookmarkStart w:id="25" w:name="_Toc236113118"/>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
        <w:gridCol w:w="1082"/>
        <w:gridCol w:w="2386"/>
        <w:gridCol w:w="1129"/>
        <w:gridCol w:w="854"/>
        <w:gridCol w:w="973"/>
        <w:gridCol w:w="1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 w:type="pct"/>
            <w:tcBorders>
              <w:top w:val="double" w:color="auto" w:sz="4" w:space="0"/>
              <w:left w:val="double" w:color="auto" w:sz="4" w:space="0"/>
              <w:right w:val="single" w:color="auto" w:sz="4" w:space="0"/>
            </w:tcBorders>
            <w:vAlign w:val="center"/>
          </w:tcPr>
          <w:p>
            <w:pPr>
              <w:jc w:val="center"/>
              <w:rPr>
                <w:rFonts w:ascii="宋体" w:hAnsi="宋体"/>
              </w:rPr>
            </w:pPr>
            <w:r>
              <w:rPr>
                <w:rFonts w:hint="eastAsia" w:ascii="宋体" w:hAnsi="宋体"/>
              </w:rPr>
              <w:t>序号</w:t>
            </w:r>
          </w:p>
        </w:tc>
        <w:tc>
          <w:tcPr>
            <w:tcW w:w="634" w:type="pct"/>
            <w:tcBorders>
              <w:top w:val="double" w:color="auto" w:sz="4" w:space="0"/>
              <w:left w:val="single" w:color="auto" w:sz="4" w:space="0"/>
              <w:right w:val="single" w:color="auto" w:sz="4" w:space="0"/>
            </w:tcBorders>
            <w:vAlign w:val="center"/>
          </w:tcPr>
          <w:p>
            <w:pPr>
              <w:jc w:val="center"/>
              <w:rPr>
                <w:rFonts w:ascii="宋体" w:hAnsi="宋体"/>
              </w:rPr>
            </w:pPr>
            <w:r>
              <w:rPr>
                <w:rFonts w:hint="eastAsia" w:ascii="宋体" w:hAnsi="宋体"/>
              </w:rPr>
              <w:t>股东名称</w:t>
            </w:r>
          </w:p>
        </w:tc>
        <w:tc>
          <w:tcPr>
            <w:tcW w:w="1399" w:type="pct"/>
            <w:tcBorders>
              <w:top w:val="double" w:color="auto" w:sz="4" w:space="0"/>
              <w:left w:val="single" w:color="auto" w:sz="4" w:space="0"/>
              <w:right w:val="single" w:color="auto" w:sz="4" w:space="0"/>
            </w:tcBorders>
            <w:vAlign w:val="center"/>
          </w:tcPr>
          <w:p>
            <w:pPr>
              <w:jc w:val="center"/>
              <w:rPr>
                <w:rFonts w:ascii="宋体" w:hAnsi="宋体"/>
              </w:rPr>
            </w:pPr>
            <w:r>
              <w:rPr>
                <w:rFonts w:hint="eastAsia" w:ascii="宋体" w:hAnsi="宋体"/>
              </w:rPr>
              <w:t>证件号码</w:t>
            </w:r>
          </w:p>
        </w:tc>
        <w:tc>
          <w:tcPr>
            <w:tcW w:w="662" w:type="pct"/>
            <w:tcBorders>
              <w:top w:val="double" w:color="auto" w:sz="4" w:space="0"/>
              <w:left w:val="single" w:color="auto" w:sz="4" w:space="0"/>
              <w:right w:val="single" w:color="auto" w:sz="4" w:space="0"/>
            </w:tcBorders>
            <w:vAlign w:val="center"/>
          </w:tcPr>
          <w:p>
            <w:pPr>
              <w:jc w:val="center"/>
              <w:rPr>
                <w:rFonts w:ascii="宋体" w:hAnsi="宋体"/>
              </w:rPr>
            </w:pPr>
            <w:r>
              <w:rPr>
                <w:rFonts w:hint="eastAsia" w:ascii="宋体" w:hAnsi="宋体"/>
              </w:rPr>
              <w:t>认缴出资额</w:t>
            </w:r>
            <w:r>
              <w:rPr>
                <w:rFonts w:hint="eastAsia" w:ascii="宋体" w:hAnsi="宋体"/>
                <w:lang w:val="en-US" w:eastAsia="zh-CN"/>
              </w:rPr>
              <w:t xml:space="preserve">  </w:t>
            </w:r>
            <w:r>
              <w:rPr>
                <w:rFonts w:hint="eastAsia" w:ascii="宋体" w:hAnsi="宋体"/>
              </w:rPr>
              <w:t>（万元）</w:t>
            </w:r>
          </w:p>
        </w:tc>
        <w:tc>
          <w:tcPr>
            <w:tcW w:w="501" w:type="pct"/>
            <w:tcBorders>
              <w:top w:val="double" w:color="auto" w:sz="4" w:space="0"/>
              <w:left w:val="single" w:color="auto" w:sz="4" w:space="0"/>
              <w:right w:val="single" w:color="auto" w:sz="4" w:space="0"/>
            </w:tcBorders>
            <w:vAlign w:val="center"/>
          </w:tcPr>
          <w:p>
            <w:pPr>
              <w:jc w:val="center"/>
              <w:rPr>
                <w:rFonts w:ascii="宋体" w:hAnsi="宋体"/>
              </w:rPr>
            </w:pPr>
            <w:r>
              <w:rPr>
                <w:rFonts w:hint="eastAsia" w:ascii="宋体" w:hAnsi="宋体"/>
              </w:rPr>
              <w:t>出资比例</w:t>
            </w:r>
          </w:p>
        </w:tc>
        <w:tc>
          <w:tcPr>
            <w:tcW w:w="570" w:type="pct"/>
            <w:tcBorders>
              <w:top w:val="double" w:color="auto" w:sz="4" w:space="0"/>
              <w:left w:val="single" w:color="auto" w:sz="4" w:space="0"/>
              <w:right w:val="single" w:color="auto" w:sz="4" w:space="0"/>
            </w:tcBorders>
            <w:vAlign w:val="center"/>
          </w:tcPr>
          <w:p>
            <w:pPr>
              <w:jc w:val="center"/>
              <w:rPr>
                <w:rFonts w:ascii="宋体" w:hAnsi="宋体"/>
              </w:rPr>
            </w:pPr>
            <w:r>
              <w:rPr>
                <w:rFonts w:hint="eastAsia" w:ascii="宋体" w:hAnsi="宋体"/>
              </w:rPr>
              <w:t>出资方式</w:t>
            </w:r>
          </w:p>
        </w:tc>
        <w:tc>
          <w:tcPr>
            <w:tcW w:w="983" w:type="pct"/>
            <w:tcBorders>
              <w:top w:val="double" w:color="auto" w:sz="4" w:space="0"/>
              <w:left w:val="single" w:color="auto" w:sz="4" w:space="0"/>
              <w:right w:val="double" w:color="auto" w:sz="4" w:space="0"/>
            </w:tcBorders>
            <w:vAlign w:val="center"/>
          </w:tcPr>
          <w:p>
            <w:pPr>
              <w:jc w:val="center"/>
              <w:rPr>
                <w:rFonts w:ascii="宋体" w:hAnsi="宋体"/>
              </w:rPr>
            </w:pPr>
            <w:r>
              <w:rPr>
                <w:rFonts w:hint="eastAsia" w:ascii="宋体" w:hAnsi="宋体"/>
              </w:rPr>
              <w:t>认缴出资日期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 w:type="pct"/>
            <w:tcBorders>
              <w:left w:val="double" w:color="auto" w:sz="4" w:space="0"/>
              <w:right w:val="single" w:color="auto" w:sz="4" w:space="0"/>
            </w:tcBorders>
            <w:vAlign w:val="center"/>
          </w:tcPr>
          <w:p>
            <w:pPr>
              <w:jc w:val="center"/>
              <w:rPr>
                <w:rFonts w:ascii="宋体" w:hAnsi="宋体"/>
                <w:highlight w:val="none"/>
              </w:rPr>
            </w:pPr>
            <w:r>
              <w:rPr>
                <w:rFonts w:hint="eastAsia" w:ascii="宋体" w:hAnsi="宋体"/>
                <w:highlight w:val="none"/>
              </w:rPr>
              <w:t>1</w:t>
            </w:r>
          </w:p>
        </w:tc>
        <w:tc>
          <w:tcPr>
            <w:tcW w:w="634" w:type="pct"/>
            <w:tcBorders>
              <w:left w:val="single" w:color="auto" w:sz="4" w:space="0"/>
              <w:right w:val="single" w:color="auto" w:sz="4" w:space="0"/>
            </w:tcBorders>
            <w:vAlign w:val="center"/>
          </w:tcPr>
          <w:p>
            <w:pPr>
              <w:jc w:val="center"/>
              <w:rPr>
                <w:rFonts w:hint="eastAsia" w:ascii="宋体" w:hAnsi="宋体" w:eastAsia="宋体"/>
                <w:highlight w:val="none"/>
                <w:lang w:eastAsia="zh-CN"/>
              </w:rPr>
            </w:pPr>
            <w:r>
              <w:rPr>
                <w:rFonts w:hint="eastAsia" w:ascii="宋体" w:hAnsi="宋体" w:eastAsia="宋体"/>
                <w:highlight w:val="none"/>
                <w:lang w:eastAsia="zh-CN"/>
              </w:rPr>
              <w:t>向德庆</w:t>
            </w:r>
          </w:p>
        </w:tc>
        <w:tc>
          <w:tcPr>
            <w:tcW w:w="1399" w:type="pct"/>
            <w:tcBorders>
              <w:left w:val="single" w:color="auto" w:sz="4" w:space="0"/>
              <w:right w:val="single" w:color="auto" w:sz="4" w:space="0"/>
            </w:tcBorders>
            <w:vAlign w:val="center"/>
          </w:tcPr>
          <w:p>
            <w:pPr>
              <w:jc w:val="center"/>
              <w:rPr>
                <w:rFonts w:hint="default" w:ascii="宋体" w:hAnsi="宋体" w:eastAsia="宋体" w:cs="Times New Roman"/>
                <w:kern w:val="2"/>
                <w:sz w:val="24"/>
                <w:szCs w:val="24"/>
                <w:highlight w:val="none"/>
                <w:lang w:val="en-US" w:eastAsia="zh-CN" w:bidi="ar-SA"/>
              </w:rPr>
            </w:pPr>
            <w:r>
              <w:rPr>
                <w:rFonts w:hint="eastAsia" w:ascii="宋体" w:hAnsi="宋体" w:cs="Times New Roman"/>
                <w:kern w:val="2"/>
                <w:sz w:val="24"/>
                <w:szCs w:val="24"/>
                <w:highlight w:val="none"/>
                <w:lang w:val="en-US" w:eastAsia="zh-CN" w:bidi="ar-SA"/>
              </w:rPr>
              <w:t>370303197106236013</w:t>
            </w:r>
          </w:p>
        </w:tc>
        <w:tc>
          <w:tcPr>
            <w:tcW w:w="662" w:type="pct"/>
            <w:tcBorders>
              <w:left w:val="single" w:color="auto" w:sz="4" w:space="0"/>
              <w:right w:val="single" w:color="auto" w:sz="4" w:space="0"/>
            </w:tcBorders>
            <w:vAlign w:val="center"/>
          </w:tcPr>
          <w:p>
            <w:pPr>
              <w:jc w:val="center"/>
              <w:rPr>
                <w:rFonts w:hint="default" w:ascii="宋体" w:hAnsi="宋体" w:eastAsia="宋体"/>
                <w:highlight w:val="none"/>
                <w:lang w:val="en-US" w:eastAsia="zh-CN"/>
              </w:rPr>
            </w:pPr>
            <w:r>
              <w:rPr>
                <w:rFonts w:hint="eastAsia" w:ascii="宋体" w:hAnsi="宋体"/>
                <w:highlight w:val="none"/>
                <w:lang w:val="en-US" w:eastAsia="zh-CN"/>
              </w:rPr>
              <w:t>345</w:t>
            </w:r>
          </w:p>
        </w:tc>
        <w:tc>
          <w:tcPr>
            <w:tcW w:w="501" w:type="pct"/>
            <w:tcBorders>
              <w:left w:val="single" w:color="auto" w:sz="4" w:space="0"/>
              <w:right w:val="single" w:color="auto" w:sz="4" w:space="0"/>
            </w:tcBorders>
            <w:vAlign w:val="center"/>
          </w:tcPr>
          <w:p>
            <w:pPr>
              <w:jc w:val="center"/>
              <w:rPr>
                <w:rFonts w:hint="default" w:ascii="宋体" w:hAnsi="宋体" w:eastAsia="宋体"/>
                <w:highlight w:val="none"/>
                <w:lang w:val="en-US" w:eastAsia="zh-CN"/>
              </w:rPr>
            </w:pPr>
            <w:r>
              <w:rPr>
                <w:rFonts w:hint="eastAsia" w:ascii="宋体" w:hAnsi="宋体"/>
                <w:highlight w:val="none"/>
                <w:lang w:val="en-US" w:eastAsia="zh-CN"/>
              </w:rPr>
              <w:t>69%</w:t>
            </w:r>
          </w:p>
        </w:tc>
        <w:tc>
          <w:tcPr>
            <w:tcW w:w="570" w:type="pct"/>
            <w:tcBorders>
              <w:left w:val="single" w:color="auto" w:sz="4" w:space="0"/>
              <w:right w:val="single" w:color="auto" w:sz="4" w:space="0"/>
            </w:tcBorders>
            <w:vAlign w:val="center"/>
          </w:tcPr>
          <w:p>
            <w:pPr>
              <w:jc w:val="center"/>
              <w:rPr>
                <w:rFonts w:hint="default" w:ascii="宋体" w:hAnsi="宋体" w:eastAsia="宋体"/>
                <w:highlight w:val="none"/>
                <w:lang w:val="en-US" w:eastAsia="zh-CN"/>
              </w:rPr>
            </w:pPr>
            <w:r>
              <w:rPr>
                <w:rFonts w:hint="eastAsia" w:ascii="宋体" w:hAnsi="宋体"/>
                <w:highlight w:val="none"/>
                <w:lang w:val="en-US" w:eastAsia="zh-CN"/>
              </w:rPr>
              <w:t>货币</w:t>
            </w:r>
          </w:p>
        </w:tc>
        <w:tc>
          <w:tcPr>
            <w:tcW w:w="983" w:type="pct"/>
            <w:tcBorders>
              <w:left w:val="single" w:color="auto" w:sz="4" w:space="0"/>
              <w:right w:val="double" w:color="auto" w:sz="4" w:space="0"/>
            </w:tcBorders>
            <w:vAlign w:val="center"/>
          </w:tcPr>
          <w:p>
            <w:pPr>
              <w:jc w:val="center"/>
              <w:rPr>
                <w:rFonts w:hint="default" w:ascii="宋体" w:hAnsi="宋体" w:eastAsia="宋体"/>
                <w:highlight w:val="none"/>
                <w:lang w:val="en-US" w:eastAsia="zh-CN"/>
              </w:rPr>
            </w:pPr>
            <w:r>
              <w:rPr>
                <w:rFonts w:hint="default" w:ascii="宋体" w:hAnsi="宋体" w:eastAsia="宋体"/>
                <w:highlight w:val="none"/>
                <w:lang w:val="en-US" w:eastAsia="zh-CN"/>
              </w:rPr>
              <w:t>2026-12-31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 w:type="pct"/>
            <w:tcBorders>
              <w:left w:val="double" w:color="auto" w:sz="4" w:space="0"/>
              <w:right w:val="single" w:color="auto" w:sz="4" w:space="0"/>
            </w:tcBorders>
            <w:vAlign w:val="center"/>
          </w:tcPr>
          <w:p>
            <w:pPr>
              <w:jc w:val="center"/>
              <w:rPr>
                <w:rFonts w:hint="eastAsia" w:ascii="宋体" w:hAnsi="宋体" w:eastAsia="宋体"/>
                <w:highlight w:val="none"/>
                <w:lang w:val="en-US" w:eastAsia="zh-CN"/>
              </w:rPr>
            </w:pPr>
            <w:r>
              <w:rPr>
                <w:rFonts w:hint="eastAsia" w:ascii="宋体" w:hAnsi="宋体"/>
                <w:highlight w:val="none"/>
                <w:lang w:val="en-US" w:eastAsia="zh-CN"/>
              </w:rPr>
              <w:t>2</w:t>
            </w:r>
          </w:p>
        </w:tc>
        <w:tc>
          <w:tcPr>
            <w:tcW w:w="634" w:type="pct"/>
            <w:tcBorders>
              <w:left w:val="single" w:color="auto" w:sz="4" w:space="0"/>
              <w:right w:val="single" w:color="auto" w:sz="4" w:space="0"/>
            </w:tcBorders>
            <w:vAlign w:val="center"/>
          </w:tcPr>
          <w:p>
            <w:pPr>
              <w:jc w:val="center"/>
              <w:rPr>
                <w:rFonts w:hint="eastAsia" w:ascii="宋体" w:hAnsi="宋体"/>
                <w:highlight w:val="none"/>
                <w:lang w:val="en-US" w:eastAsia="zh-CN"/>
              </w:rPr>
            </w:pPr>
            <w:r>
              <w:rPr>
                <w:rFonts w:hint="eastAsia" w:ascii="宋体" w:hAnsi="宋体"/>
                <w:highlight w:val="none"/>
                <w:lang w:val="en-US" w:eastAsia="zh-CN"/>
              </w:rPr>
              <w:t>何恒广</w:t>
            </w:r>
          </w:p>
        </w:tc>
        <w:tc>
          <w:tcPr>
            <w:tcW w:w="1399" w:type="pct"/>
            <w:tcBorders>
              <w:left w:val="single" w:color="auto" w:sz="4" w:space="0"/>
              <w:right w:val="single" w:color="auto" w:sz="4" w:space="0"/>
            </w:tcBorders>
            <w:vAlign w:val="center"/>
          </w:tcPr>
          <w:p>
            <w:pPr>
              <w:jc w:val="center"/>
              <w:rPr>
                <w:rFonts w:hint="default" w:ascii="宋体" w:hAnsi="宋体"/>
                <w:highlight w:val="none"/>
                <w:lang w:val="en-US" w:eastAsia="zh-CN"/>
              </w:rPr>
            </w:pPr>
            <w:r>
              <w:rPr>
                <w:rFonts w:hint="eastAsia" w:ascii="宋体" w:hAnsi="宋体"/>
                <w:highlight w:val="none"/>
                <w:lang w:val="en-US" w:eastAsia="zh-CN"/>
              </w:rPr>
              <w:t>370303197305136015</w:t>
            </w:r>
          </w:p>
        </w:tc>
        <w:tc>
          <w:tcPr>
            <w:tcW w:w="662" w:type="pct"/>
            <w:tcBorders>
              <w:left w:val="single" w:color="auto" w:sz="4" w:space="0"/>
              <w:right w:val="single" w:color="auto" w:sz="4" w:space="0"/>
            </w:tcBorders>
            <w:vAlign w:val="center"/>
          </w:tcPr>
          <w:p>
            <w:pPr>
              <w:jc w:val="center"/>
              <w:rPr>
                <w:rFonts w:hint="default" w:ascii="宋体" w:hAnsi="宋体"/>
                <w:highlight w:val="none"/>
                <w:lang w:val="en-US" w:eastAsia="zh-CN"/>
              </w:rPr>
            </w:pPr>
            <w:r>
              <w:rPr>
                <w:rFonts w:hint="eastAsia" w:ascii="宋体" w:hAnsi="宋体"/>
                <w:highlight w:val="none"/>
                <w:lang w:val="en-US" w:eastAsia="zh-CN"/>
              </w:rPr>
              <w:t>155</w:t>
            </w:r>
          </w:p>
        </w:tc>
        <w:tc>
          <w:tcPr>
            <w:tcW w:w="501" w:type="pct"/>
            <w:tcBorders>
              <w:left w:val="single" w:color="auto" w:sz="4" w:space="0"/>
              <w:right w:val="single" w:color="auto" w:sz="4" w:space="0"/>
            </w:tcBorders>
            <w:vAlign w:val="center"/>
          </w:tcPr>
          <w:p>
            <w:pPr>
              <w:jc w:val="center"/>
              <w:rPr>
                <w:rFonts w:hint="default" w:ascii="宋体" w:hAnsi="宋体"/>
                <w:highlight w:val="none"/>
                <w:lang w:val="en-US" w:eastAsia="zh-CN"/>
              </w:rPr>
            </w:pPr>
            <w:r>
              <w:rPr>
                <w:rFonts w:hint="eastAsia" w:ascii="宋体" w:hAnsi="宋体"/>
                <w:highlight w:val="none"/>
                <w:lang w:val="en-US" w:eastAsia="zh-CN"/>
              </w:rPr>
              <w:t>31%</w:t>
            </w:r>
          </w:p>
        </w:tc>
        <w:tc>
          <w:tcPr>
            <w:tcW w:w="570" w:type="pct"/>
            <w:tcBorders>
              <w:left w:val="single" w:color="auto" w:sz="4" w:space="0"/>
              <w:right w:val="single" w:color="auto" w:sz="4" w:space="0"/>
            </w:tcBorders>
            <w:vAlign w:val="center"/>
          </w:tcPr>
          <w:p>
            <w:pPr>
              <w:jc w:val="center"/>
              <w:rPr>
                <w:rFonts w:hint="default" w:ascii="宋体" w:hAnsi="宋体"/>
                <w:highlight w:val="none"/>
                <w:lang w:val="en-US" w:eastAsia="zh-CN"/>
              </w:rPr>
            </w:pPr>
            <w:r>
              <w:rPr>
                <w:rFonts w:hint="eastAsia" w:ascii="宋体" w:hAnsi="宋体"/>
                <w:highlight w:val="none"/>
                <w:lang w:val="en-US" w:eastAsia="zh-CN"/>
              </w:rPr>
              <w:t>货币</w:t>
            </w:r>
          </w:p>
        </w:tc>
        <w:tc>
          <w:tcPr>
            <w:tcW w:w="983" w:type="pct"/>
            <w:tcBorders>
              <w:left w:val="single" w:color="auto" w:sz="4" w:space="0"/>
              <w:right w:val="double" w:color="auto" w:sz="4" w:space="0"/>
            </w:tcBorders>
            <w:vAlign w:val="center"/>
          </w:tcPr>
          <w:p>
            <w:pPr>
              <w:jc w:val="center"/>
              <w:rPr>
                <w:rFonts w:hint="eastAsia" w:ascii="宋体" w:hAnsi="宋体"/>
                <w:highlight w:val="none"/>
                <w:lang w:val="en-US" w:eastAsia="zh-CN"/>
              </w:rPr>
            </w:pPr>
            <w:r>
              <w:rPr>
                <w:rFonts w:hint="eastAsia" w:ascii="宋体" w:hAnsi="宋体"/>
                <w:highlight w:val="none"/>
                <w:lang w:val="en-US" w:eastAsia="zh-CN"/>
              </w:rPr>
              <w:t>2026-12-31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1" w:type="pct"/>
            <w:gridSpan w:val="2"/>
            <w:tcBorders>
              <w:left w:val="double" w:color="auto" w:sz="4" w:space="0"/>
              <w:right w:val="single" w:color="auto" w:sz="4" w:space="0"/>
            </w:tcBorders>
            <w:vAlign w:val="center"/>
          </w:tcPr>
          <w:p>
            <w:pPr>
              <w:jc w:val="center"/>
              <w:rPr>
                <w:rFonts w:ascii="宋体" w:hAnsi="宋体"/>
                <w:highlight w:val="none"/>
              </w:rPr>
            </w:pPr>
            <w:r>
              <w:rPr>
                <w:rFonts w:hint="eastAsia" w:ascii="宋体" w:hAnsi="宋体"/>
                <w:highlight w:val="none"/>
              </w:rPr>
              <w:t>合计</w:t>
            </w:r>
          </w:p>
        </w:tc>
        <w:tc>
          <w:tcPr>
            <w:tcW w:w="1399" w:type="pct"/>
            <w:tcBorders>
              <w:left w:val="single" w:color="auto" w:sz="4" w:space="0"/>
              <w:right w:val="single" w:color="auto" w:sz="4" w:space="0"/>
            </w:tcBorders>
            <w:vAlign w:val="center"/>
          </w:tcPr>
          <w:p>
            <w:pPr>
              <w:jc w:val="center"/>
              <w:rPr>
                <w:rFonts w:ascii="宋体" w:hAnsi="宋体"/>
                <w:highlight w:val="none"/>
              </w:rPr>
            </w:pPr>
            <w:r>
              <w:rPr>
                <w:rFonts w:hint="eastAsia" w:ascii="宋体" w:hAnsi="宋体"/>
                <w:highlight w:val="none"/>
              </w:rPr>
              <w:t>-</w:t>
            </w:r>
          </w:p>
        </w:tc>
        <w:tc>
          <w:tcPr>
            <w:tcW w:w="662" w:type="pct"/>
            <w:tcBorders>
              <w:left w:val="single" w:color="auto" w:sz="4" w:space="0"/>
              <w:right w:val="single" w:color="auto" w:sz="4" w:space="0"/>
            </w:tcBorders>
            <w:vAlign w:val="center"/>
          </w:tcPr>
          <w:p>
            <w:pPr>
              <w:jc w:val="center"/>
              <w:rPr>
                <w:rFonts w:hint="default" w:ascii="宋体" w:hAnsi="宋体" w:eastAsia="宋体"/>
                <w:highlight w:val="none"/>
                <w:lang w:val="en-US" w:eastAsia="zh-CN"/>
              </w:rPr>
            </w:pPr>
            <w:r>
              <w:rPr>
                <w:rFonts w:hint="eastAsia" w:ascii="宋体" w:hAnsi="宋体"/>
                <w:highlight w:val="none"/>
                <w:lang w:val="en-US" w:eastAsia="zh-CN"/>
              </w:rPr>
              <w:t>500</w:t>
            </w:r>
          </w:p>
        </w:tc>
        <w:tc>
          <w:tcPr>
            <w:tcW w:w="501" w:type="pct"/>
            <w:tcBorders>
              <w:left w:val="single" w:color="auto" w:sz="4" w:space="0"/>
              <w:right w:val="single" w:color="auto" w:sz="4" w:space="0"/>
            </w:tcBorders>
            <w:vAlign w:val="center"/>
          </w:tcPr>
          <w:p>
            <w:pPr>
              <w:jc w:val="center"/>
              <w:rPr>
                <w:rFonts w:hint="eastAsia" w:ascii="宋体" w:hAnsi="宋体" w:eastAsia="宋体"/>
                <w:highlight w:val="none"/>
                <w:lang w:val="en-US" w:eastAsia="zh-CN"/>
              </w:rPr>
            </w:pPr>
            <w:r>
              <w:rPr>
                <w:rFonts w:hint="eastAsia" w:ascii="宋体" w:hAnsi="宋体"/>
                <w:highlight w:val="none"/>
              </w:rPr>
              <w:t>100</w:t>
            </w:r>
            <w:r>
              <w:rPr>
                <w:rFonts w:hint="eastAsia" w:ascii="宋体" w:hAnsi="宋体"/>
                <w:highlight w:val="none"/>
                <w:lang w:val="en-US" w:eastAsia="zh-CN"/>
              </w:rPr>
              <w:t>%</w:t>
            </w:r>
          </w:p>
        </w:tc>
        <w:tc>
          <w:tcPr>
            <w:tcW w:w="570" w:type="pct"/>
            <w:tcBorders>
              <w:left w:val="single" w:color="auto" w:sz="4" w:space="0"/>
              <w:right w:val="single" w:color="auto" w:sz="4" w:space="0"/>
            </w:tcBorders>
            <w:vAlign w:val="center"/>
          </w:tcPr>
          <w:p>
            <w:pPr>
              <w:jc w:val="center"/>
              <w:rPr>
                <w:rFonts w:ascii="宋体" w:hAnsi="宋体"/>
                <w:highlight w:val="none"/>
              </w:rPr>
            </w:pPr>
            <w:r>
              <w:rPr>
                <w:rFonts w:hint="eastAsia" w:ascii="宋体" w:hAnsi="宋体"/>
                <w:highlight w:val="none"/>
              </w:rPr>
              <w:t>-</w:t>
            </w:r>
          </w:p>
        </w:tc>
        <w:tc>
          <w:tcPr>
            <w:tcW w:w="983" w:type="pct"/>
            <w:tcBorders>
              <w:left w:val="single" w:color="auto" w:sz="4" w:space="0"/>
              <w:right w:val="double" w:color="auto" w:sz="4" w:space="0"/>
            </w:tcBorders>
            <w:vAlign w:val="center"/>
          </w:tcPr>
          <w:p>
            <w:pPr>
              <w:jc w:val="center"/>
              <w:rPr>
                <w:rFonts w:ascii="宋体" w:hAnsi="宋体"/>
                <w:highlight w:val="none"/>
              </w:rPr>
            </w:pPr>
            <w:r>
              <w:rPr>
                <w:rFonts w:hint="eastAsia" w:ascii="宋体" w:hAnsi="宋体"/>
                <w:highlight w:val="none"/>
              </w:rPr>
              <w:t>-</w:t>
            </w:r>
          </w:p>
        </w:tc>
      </w:tr>
    </w:tbl>
    <w:p>
      <w:pPr>
        <w:jc w:val="center"/>
        <w:rPr>
          <w:rFonts w:hint="eastAsia" w:ascii="宋体" w:hAnsi="宋体" w:eastAsia="宋体"/>
          <w:highlight w:val="yellow"/>
          <w:lang w:eastAsia="zh-CN"/>
        </w:rPr>
      </w:pPr>
      <w:r>
        <w:drawing>
          <wp:inline distT="0" distB="0" distL="114300" distR="114300">
            <wp:extent cx="4554220" cy="2821305"/>
            <wp:effectExtent l="4445" t="4445" r="7620" b="1333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ind w:firstLine="480"/>
        <w:rPr>
          <w:rFonts w:hint="eastAsia" w:ascii="宋体" w:hAnsi="宋体"/>
        </w:rPr>
      </w:pPr>
      <w:r>
        <w:rPr>
          <w:rFonts w:hint="eastAsia" w:ascii="宋体" w:hAnsi="宋体"/>
        </w:rPr>
        <w:t>公司两位股东均为于中国境内拥有住所的自然人，具有完全民事权利能力和完全民事行为能力，持有公司100%的股权，符合《公司法》、《中华人民共和国公司登记管理条例》等法律、行政法规和规范性文件规定的担任股东的资格。</w:t>
      </w:r>
    </w:p>
    <w:p>
      <w:pPr>
        <w:numPr>
          <w:ilvl w:val="0"/>
          <w:numId w:val="1"/>
        </w:numPr>
        <w:ind w:firstLine="480"/>
        <w:rPr>
          <w:rFonts w:ascii="宋体" w:hAnsi="宋体"/>
        </w:rPr>
      </w:pPr>
      <w:r>
        <w:rPr>
          <w:rFonts w:hint="eastAsia" w:ascii="宋体" w:hAnsi="宋体"/>
        </w:rPr>
        <w:t>公司控股股东、实际控制人情况</w:t>
      </w:r>
    </w:p>
    <w:p>
      <w:pPr>
        <w:ind w:firstLine="480" w:firstLineChars="200"/>
        <w:rPr>
          <w:rFonts w:hint="eastAsia" w:ascii="宋体" w:hAnsi="宋体"/>
          <w:kern w:val="0"/>
          <w:highlight w:val="none"/>
        </w:rPr>
      </w:pPr>
      <w:bookmarkStart w:id="26" w:name="_Toc19383"/>
      <w:bookmarkStart w:id="27" w:name="_Toc13055"/>
      <w:bookmarkStart w:id="28" w:name="_Toc27351"/>
      <w:r>
        <w:rPr>
          <w:rFonts w:hint="eastAsia" w:ascii="宋体" w:hAnsi="宋体"/>
          <w:kern w:val="0"/>
          <w:highlight w:val="none"/>
        </w:rPr>
        <w:t>根据公司的工商登记材料，公司股东向德庆持有公司69%的股权，为公司的控股股东，目前担任公司监事，对公司的日常经营管理、发展战略等重大决策事项具有决定性影响力，所以本推荐机构认定向德庆为公司的控股股东、实际控制人。</w:t>
      </w:r>
    </w:p>
    <w:p>
      <w:pPr>
        <w:ind w:firstLine="480" w:firstLineChars="200"/>
      </w:pPr>
      <w:r>
        <w:rPr>
          <w:rFonts w:hint="eastAsia" w:ascii="宋体" w:hAnsi="宋体"/>
          <w:kern w:val="0"/>
          <w:highlight w:val="none"/>
        </w:rPr>
        <w:t>向德庆，男，50岁，汉族，中华人民共和国国籍，无境外永久居留权。毕业于山东工业职业学院，专科学历，主修应用化工技术专业。1996年-2005年在淄博市化工设备厂担任技术专员，2006年-2015年在淄博金马化工厂担任公司生产部主任，2017年6月于淄博德昶泰经贸有限公司担任公司监事，截止目前，持有淄博德昶泰经贸有限公司69%的股权，为公司控股股东</w:t>
      </w:r>
      <w:r>
        <w:rPr>
          <w:rFonts w:hint="eastAsia"/>
        </w:rPr>
        <w:t>。</w:t>
      </w:r>
      <w:bookmarkEnd w:id="26"/>
      <w:bookmarkEnd w:id="27"/>
      <w:bookmarkEnd w:id="28"/>
    </w:p>
    <w:bookmarkEnd w:id="22"/>
    <w:bookmarkEnd w:id="23"/>
    <w:bookmarkEnd w:id="24"/>
    <w:bookmarkEnd w:id="25"/>
    <w:p>
      <w:pPr>
        <w:pStyle w:val="3"/>
        <w:ind w:left="480"/>
      </w:pPr>
      <w:bookmarkStart w:id="29" w:name="_Toc1910"/>
      <w:r>
        <w:rPr>
          <w:rFonts w:hint="eastAsia"/>
        </w:rPr>
        <w:t>三、公司组织结构</w:t>
      </w:r>
      <w:bookmarkEnd w:id="29"/>
    </w:p>
    <w:p>
      <w:pPr>
        <w:rPr>
          <w:rFonts w:ascii="宋体" w:hAnsi="宋体" w:cs="宋体"/>
          <w:kern w:val="0"/>
          <w:lang w:bidi="ar"/>
        </w:rPr>
      </w:pPr>
      <w:r>
        <w:drawing>
          <wp:inline distT="0" distB="0" distL="114300" distR="114300">
            <wp:extent cx="5270500" cy="2993390"/>
            <wp:effectExtent l="0" t="0" r="8255" b="762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9"/>
                    <a:stretch>
                      <a:fillRect/>
                    </a:stretch>
                  </pic:blipFill>
                  <pic:spPr>
                    <a:xfrm>
                      <a:off x="0" y="0"/>
                      <a:ext cx="5270500" cy="2993390"/>
                    </a:xfrm>
                    <a:prstGeom prst="rect">
                      <a:avLst/>
                    </a:prstGeom>
                    <a:noFill/>
                    <a:ln>
                      <a:noFill/>
                    </a:ln>
                  </pic:spPr>
                </pic:pic>
              </a:graphicData>
            </a:graphic>
          </wp:inline>
        </w:drawing>
      </w:r>
    </w:p>
    <w:p>
      <w:pPr>
        <w:pStyle w:val="3"/>
        <w:ind w:left="480"/>
        <w:rPr>
          <w:rFonts w:ascii="仿宋" w:hAnsi="仿宋" w:eastAsia="仿宋" w:cs="仿宋"/>
          <w:szCs w:val="32"/>
        </w:rPr>
      </w:pPr>
      <w:bookmarkStart w:id="30" w:name="_Toc16410"/>
      <w:r>
        <w:rPr>
          <w:rFonts w:hint="eastAsia"/>
        </w:rPr>
        <w:t>四、公司主营</w:t>
      </w:r>
      <w:r>
        <w:rPr>
          <w:rFonts w:hint="eastAsia"/>
          <w:lang w:val="en-US" w:eastAsia="zh-CN"/>
        </w:rPr>
        <w:t>产品及业务</w:t>
      </w:r>
      <w:r>
        <w:rPr>
          <w:rFonts w:hint="eastAsia"/>
        </w:rPr>
        <w:t>情况</w:t>
      </w:r>
      <w:bookmarkEnd w:id="30"/>
    </w:p>
    <w:p>
      <w:pPr>
        <w:pStyle w:val="4"/>
        <w:keepNext/>
        <w:keepLines/>
        <w:pageBreakBefore w:val="0"/>
        <w:widowControl w:val="0"/>
        <w:kinsoku/>
        <w:wordWrap/>
        <w:overflowPunct/>
        <w:topLinePunct w:val="0"/>
        <w:autoSpaceDE/>
        <w:autoSpaceDN/>
        <w:bidi w:val="0"/>
        <w:adjustRightInd/>
        <w:snapToGrid/>
        <w:spacing w:line="360" w:lineRule="auto"/>
        <w:ind w:firstLine="480" w:firstLineChars="200"/>
        <w:textAlignment w:val="auto"/>
        <w:rPr>
          <w:b w:val="0"/>
          <w:bCs/>
          <w:sz w:val="24"/>
          <w:szCs w:val="24"/>
        </w:rPr>
      </w:pPr>
      <w:r>
        <w:rPr>
          <w:rFonts w:hint="eastAsia"/>
          <w:b w:val="0"/>
          <w:bCs/>
          <w:sz w:val="24"/>
          <w:szCs w:val="24"/>
        </w:rPr>
        <w:t>（一）主要产品内容</w:t>
      </w:r>
    </w:p>
    <w:p>
      <w:pPr>
        <w:ind w:firstLine="480"/>
        <w:rPr>
          <w:rFonts w:hint="eastAsia" w:ascii="宋体" w:hAnsi="宋体"/>
          <w:lang w:val="en-US" w:eastAsia="zh-CN"/>
        </w:rPr>
      </w:pPr>
      <w:r>
        <w:rPr>
          <w:rFonts w:hint="eastAsia" w:ascii="宋体" w:hAnsi="宋体"/>
          <w:lang w:val="en-US" w:eastAsia="zh-CN"/>
        </w:rPr>
        <w:t>淄博德昶泰经贸有限公司成立于2006年3月31日，位于山东省淄博市高新区中润大道129号313室，专业从事基本有机化工原料及基础化工产品贸易。</w:t>
      </w:r>
    </w:p>
    <w:p>
      <w:pPr>
        <w:ind w:firstLine="480"/>
        <w:rPr>
          <w:rFonts w:hint="eastAsia" w:ascii="宋体" w:hAnsi="宋体"/>
          <w:lang w:val="en-US" w:eastAsia="zh-CN"/>
        </w:rPr>
      </w:pPr>
      <w:r>
        <w:rPr>
          <w:rFonts w:hint="eastAsia" w:ascii="宋体" w:hAnsi="宋体"/>
          <w:lang w:val="en-US" w:eastAsia="zh-CN"/>
        </w:rPr>
        <w:t>自成立以来，公司终坚持以质量求生存，以信誉求发展的宗旨，秉承“质量第一、信誉至上”的经营宗旨，始终坚持“以客户为中心，为客户创造价值”的核心价值观，灵活运用自身丰富的市场经验、专业的产品知识，诚挚地为客户及供应商服务。</w:t>
      </w:r>
    </w:p>
    <w:p>
      <w:pPr>
        <w:ind w:firstLine="480"/>
        <w:rPr>
          <w:rFonts w:hint="eastAsia" w:ascii="宋体" w:hAnsi="宋体"/>
          <w:lang w:val="en-US" w:eastAsia="zh-CN"/>
        </w:rPr>
      </w:pPr>
      <w:r>
        <w:rPr>
          <w:rFonts w:hint="eastAsia" w:ascii="宋体" w:hAnsi="宋体"/>
          <w:lang w:val="en-US" w:eastAsia="zh-CN"/>
        </w:rPr>
        <w:t>公司主营业务明确，其经营活动符合法律法规和公司章程的规定，符合国家产业政策及环境保护政策。</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left"/>
        <w:textAlignment w:val="auto"/>
        <w:rPr>
          <w:rFonts w:hint="eastAsia" w:ascii="宋体" w:hAnsi="宋体" w:cs="宋体"/>
          <w:b w:val="0"/>
          <w:bCs/>
          <w:sz w:val="24"/>
          <w:szCs w:val="22"/>
          <w:lang w:val="en-US" w:eastAsia="zh-CN"/>
        </w:rPr>
      </w:pPr>
      <w:r>
        <w:rPr>
          <w:rFonts w:hint="eastAsia" w:ascii="宋体" w:hAnsi="宋体" w:cs="宋体"/>
          <w:b w:val="0"/>
          <w:bCs/>
          <w:sz w:val="24"/>
          <w:szCs w:val="22"/>
          <w:lang w:val="en-US" w:eastAsia="zh-CN"/>
        </w:rPr>
        <w:t>主营产品：</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left"/>
        <w:textAlignment w:val="auto"/>
        <w:rPr>
          <w:rFonts w:hint="eastAsia" w:ascii="宋体" w:hAnsi="宋体" w:cs="宋体"/>
          <w:b w:val="0"/>
          <w:bCs/>
          <w:sz w:val="24"/>
          <w:szCs w:val="22"/>
          <w:lang w:val="en-US" w:eastAsia="zh-CN"/>
        </w:rPr>
      </w:pPr>
      <w:r>
        <w:rPr>
          <w:rFonts w:hint="eastAsia" w:ascii="宋体" w:hAnsi="宋体" w:cs="宋体"/>
          <w:b w:val="0"/>
          <w:bCs/>
          <w:sz w:val="24"/>
          <w:szCs w:val="22"/>
          <w:lang w:val="en-US" w:eastAsia="zh-CN"/>
        </w:rPr>
        <w:t>1、亚氯酸钠</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left"/>
        <w:textAlignment w:val="auto"/>
        <w:rPr>
          <w:rFonts w:hint="eastAsia" w:ascii="宋体" w:hAnsi="宋体" w:cs="宋体"/>
          <w:b w:val="0"/>
          <w:bCs/>
          <w:sz w:val="24"/>
          <w:szCs w:val="22"/>
          <w:lang w:val="en-US" w:eastAsia="zh-CN"/>
        </w:rPr>
      </w:pPr>
      <w:r>
        <w:rPr>
          <w:rFonts w:hint="eastAsia" w:ascii="宋体" w:hAnsi="宋体" w:cs="宋体"/>
          <w:b w:val="0"/>
          <w:bCs/>
          <w:sz w:val="24"/>
          <w:szCs w:val="22"/>
          <w:lang w:val="en-US" w:eastAsia="zh-CN"/>
        </w:rPr>
        <w:t>亚氯酸钠是一种高效氧化剂漂白剂。黄绿色液体，呈</w:t>
      </w:r>
      <w:r>
        <w:rPr>
          <w:rFonts w:hint="eastAsia" w:ascii="宋体" w:hAnsi="宋体" w:cs="宋体"/>
          <w:b w:val="0"/>
          <w:bCs/>
          <w:sz w:val="24"/>
          <w:szCs w:val="22"/>
          <w:lang w:val="en-US" w:eastAsia="zh-CN"/>
        </w:rPr>
        <w:fldChar w:fldCharType="begin"/>
      </w:r>
      <w:r>
        <w:rPr>
          <w:rFonts w:hint="eastAsia" w:ascii="宋体" w:hAnsi="宋体" w:cs="宋体"/>
          <w:b w:val="0"/>
          <w:bCs/>
          <w:sz w:val="24"/>
          <w:szCs w:val="22"/>
          <w:lang w:val="en-US" w:eastAsia="zh-CN"/>
        </w:rPr>
        <w:instrText xml:space="preserve"> HYPERLINK "https://baike.baidu.com/item/%E7%A2%B1%E6%80%A7" \t "https://baike.baidu.com/item/%E4%BA%9A%E6%B0%AF%E9%85%B8%E9%92%A0/_blank" </w:instrText>
      </w:r>
      <w:r>
        <w:rPr>
          <w:rFonts w:hint="eastAsia" w:ascii="宋体" w:hAnsi="宋体" w:cs="宋体"/>
          <w:b w:val="0"/>
          <w:bCs/>
          <w:sz w:val="24"/>
          <w:szCs w:val="22"/>
          <w:lang w:val="en-US" w:eastAsia="zh-CN"/>
        </w:rPr>
        <w:fldChar w:fldCharType="separate"/>
      </w:r>
      <w:r>
        <w:rPr>
          <w:rFonts w:hint="eastAsia" w:ascii="宋体" w:hAnsi="宋体" w:cs="宋体"/>
          <w:b w:val="0"/>
          <w:bCs/>
          <w:sz w:val="24"/>
          <w:szCs w:val="22"/>
          <w:lang w:val="en-US" w:eastAsia="zh-CN"/>
        </w:rPr>
        <w:t>碱性</w:t>
      </w:r>
      <w:r>
        <w:rPr>
          <w:rFonts w:hint="eastAsia" w:ascii="宋体" w:hAnsi="宋体" w:cs="宋体"/>
          <w:b w:val="0"/>
          <w:bCs/>
          <w:sz w:val="24"/>
          <w:szCs w:val="22"/>
          <w:lang w:val="en-US" w:eastAsia="zh-CN"/>
        </w:rPr>
        <w:fldChar w:fldCharType="end"/>
      </w:r>
      <w:r>
        <w:rPr>
          <w:rFonts w:hint="eastAsia" w:ascii="宋体" w:hAnsi="宋体" w:cs="宋体"/>
          <w:b w:val="0"/>
          <w:bCs/>
          <w:sz w:val="24"/>
          <w:szCs w:val="22"/>
          <w:lang w:val="en-US" w:eastAsia="zh-CN"/>
        </w:rPr>
        <w:t>，是一种强氧化剂，遇酸放出CIO₂气体。一般使用产品含量一般在20%~30%不等，在</w:t>
      </w:r>
      <w:r>
        <w:rPr>
          <w:rFonts w:hint="eastAsia" w:ascii="宋体" w:hAnsi="宋体" w:cs="宋体"/>
          <w:b w:val="0"/>
          <w:bCs/>
          <w:sz w:val="24"/>
          <w:szCs w:val="22"/>
          <w:lang w:val="en-US" w:eastAsia="zh-CN"/>
        </w:rPr>
        <w:fldChar w:fldCharType="begin"/>
      </w:r>
      <w:r>
        <w:rPr>
          <w:rFonts w:hint="eastAsia" w:ascii="宋体" w:hAnsi="宋体" w:cs="宋体"/>
          <w:b w:val="0"/>
          <w:bCs/>
          <w:sz w:val="24"/>
          <w:szCs w:val="22"/>
          <w:lang w:val="en-US" w:eastAsia="zh-CN"/>
        </w:rPr>
        <w:instrText xml:space="preserve"> HYPERLINK "https://baike.baidu.com/item/%E5%B8%B8%E6%B8%A9" \t "https://baike.baidu.com/item/%E4%BA%9A%E6%B0%AF%E9%85%B8%E9%92%A0/_blank" </w:instrText>
      </w:r>
      <w:r>
        <w:rPr>
          <w:rFonts w:hint="eastAsia" w:ascii="宋体" w:hAnsi="宋体" w:cs="宋体"/>
          <w:b w:val="0"/>
          <w:bCs/>
          <w:sz w:val="24"/>
          <w:szCs w:val="22"/>
          <w:lang w:val="en-US" w:eastAsia="zh-CN"/>
        </w:rPr>
        <w:fldChar w:fldCharType="separate"/>
      </w:r>
      <w:r>
        <w:rPr>
          <w:rFonts w:hint="eastAsia" w:ascii="宋体" w:hAnsi="宋体" w:cs="宋体"/>
          <w:b w:val="0"/>
          <w:bCs/>
          <w:sz w:val="24"/>
          <w:szCs w:val="22"/>
          <w:lang w:val="en-US" w:eastAsia="zh-CN"/>
        </w:rPr>
        <w:t>常温</w:t>
      </w:r>
      <w:r>
        <w:rPr>
          <w:rFonts w:hint="eastAsia" w:ascii="宋体" w:hAnsi="宋体" w:cs="宋体"/>
          <w:b w:val="0"/>
          <w:bCs/>
          <w:sz w:val="24"/>
          <w:szCs w:val="22"/>
          <w:lang w:val="en-US" w:eastAsia="zh-CN"/>
        </w:rPr>
        <w:fldChar w:fldCharType="end"/>
      </w:r>
      <w:r>
        <w:rPr>
          <w:rFonts w:hint="eastAsia" w:ascii="宋体" w:hAnsi="宋体" w:cs="宋体"/>
          <w:b w:val="0"/>
          <w:bCs/>
          <w:sz w:val="24"/>
          <w:szCs w:val="22"/>
          <w:lang w:val="en-US" w:eastAsia="zh-CN"/>
        </w:rPr>
        <w:t>下稳定，一般保质期可达12个月以上。亚氯酸钠主要用于纸浆、纸张和各种纤维如亚麻、萱麻、棉、苇类、黏胶纤维等的漂白。因其具有氧化还原电位适中的特点，用于合成纤维（如洗涤等），天然纤维（如棉、麻、桑、纸浆等植物纤维）及人造纤维（如人造丝等）的漂白时，它既能除去色素杂质，也不损伤纤维，从而可以获得较高质量的漂白成品，这是过氧化氢及其他含氯漂白剂无可比拟的。随着人们认识的不断提高，特别是作为第四代消毒剂</w:t>
      </w:r>
      <w:r>
        <w:rPr>
          <w:rFonts w:hint="eastAsia" w:ascii="宋体" w:hAnsi="宋体" w:cs="宋体"/>
          <w:b w:val="0"/>
          <w:bCs/>
          <w:sz w:val="24"/>
          <w:szCs w:val="22"/>
          <w:lang w:val="en-US" w:eastAsia="zh-CN"/>
        </w:rPr>
        <w:fldChar w:fldCharType="begin"/>
      </w:r>
      <w:r>
        <w:rPr>
          <w:rFonts w:hint="eastAsia" w:ascii="宋体" w:hAnsi="宋体" w:cs="宋体"/>
          <w:b w:val="0"/>
          <w:bCs/>
          <w:sz w:val="24"/>
          <w:szCs w:val="22"/>
          <w:lang w:val="en-US" w:eastAsia="zh-CN"/>
        </w:rPr>
        <w:instrText xml:space="preserve"> HYPERLINK "https://baike.baidu.com/item/%E4%BA%8C%E6%B0%A7%E5%8C%96%E6%B0%AF" \t "https://baike.baidu.com/item/%E4%BA%9A%E6%B0%AF%E9%85%B8%E9%92%A0/_blank" </w:instrText>
      </w:r>
      <w:r>
        <w:rPr>
          <w:rFonts w:hint="eastAsia" w:ascii="宋体" w:hAnsi="宋体" w:cs="宋体"/>
          <w:b w:val="0"/>
          <w:bCs/>
          <w:sz w:val="24"/>
          <w:szCs w:val="22"/>
          <w:lang w:val="en-US" w:eastAsia="zh-CN"/>
        </w:rPr>
        <w:fldChar w:fldCharType="separate"/>
      </w:r>
      <w:r>
        <w:rPr>
          <w:rFonts w:hint="eastAsia" w:ascii="宋体" w:hAnsi="宋体" w:cs="宋体"/>
          <w:b w:val="0"/>
          <w:bCs/>
          <w:sz w:val="24"/>
          <w:szCs w:val="22"/>
          <w:lang w:val="en-US" w:eastAsia="zh-CN"/>
        </w:rPr>
        <w:t>二氧化氯</w:t>
      </w:r>
      <w:r>
        <w:rPr>
          <w:rFonts w:hint="eastAsia" w:ascii="宋体" w:hAnsi="宋体" w:cs="宋体"/>
          <w:b w:val="0"/>
          <w:bCs/>
          <w:sz w:val="24"/>
          <w:szCs w:val="22"/>
          <w:lang w:val="en-US" w:eastAsia="zh-CN"/>
        </w:rPr>
        <w:fldChar w:fldCharType="end"/>
      </w:r>
      <w:r>
        <w:rPr>
          <w:rFonts w:hint="eastAsia" w:ascii="宋体" w:hAnsi="宋体" w:cs="宋体"/>
          <w:b w:val="0"/>
          <w:bCs/>
          <w:sz w:val="24"/>
          <w:szCs w:val="22"/>
          <w:lang w:val="en-US" w:eastAsia="zh-CN"/>
        </w:rPr>
        <w:t>在医疗卫生、食品加工、水产养殖、饮水消毒、工业水处理及干燥工艺等方面的进一步运用，亚氯酸钠饮用水处理，除杀菌、灭藻、消毒性外，尚有脱臭效果。对被酚或酚化合物污染的水质，经处理后，可脱除酚和酚化合物。此外，亚氯酸钠还可用于砂糖、面粉、淀粉、</w:t>
      </w:r>
      <w:r>
        <w:rPr>
          <w:rFonts w:hint="eastAsia" w:ascii="宋体" w:hAnsi="宋体" w:cs="宋体"/>
          <w:b w:val="0"/>
          <w:bCs/>
          <w:sz w:val="24"/>
          <w:szCs w:val="22"/>
          <w:lang w:val="en-US" w:eastAsia="zh-CN"/>
        </w:rPr>
        <w:fldChar w:fldCharType="begin"/>
      </w:r>
      <w:r>
        <w:rPr>
          <w:rFonts w:hint="eastAsia" w:ascii="宋体" w:hAnsi="宋体" w:cs="宋体"/>
          <w:b w:val="0"/>
          <w:bCs/>
          <w:sz w:val="24"/>
          <w:szCs w:val="22"/>
          <w:lang w:val="en-US" w:eastAsia="zh-CN"/>
        </w:rPr>
        <w:instrText xml:space="preserve"> HYPERLINK "https://baike.baidu.com/item/%E6%B2%B9%E8%84%82" \t "https://baike.baidu.com/item/%E4%BA%9A%E6%B0%AF%E9%85%B8%E9%92%A0/_blank" </w:instrText>
      </w:r>
      <w:r>
        <w:rPr>
          <w:rFonts w:hint="eastAsia" w:ascii="宋体" w:hAnsi="宋体" w:cs="宋体"/>
          <w:b w:val="0"/>
          <w:bCs/>
          <w:sz w:val="24"/>
          <w:szCs w:val="22"/>
          <w:lang w:val="en-US" w:eastAsia="zh-CN"/>
        </w:rPr>
        <w:fldChar w:fldCharType="separate"/>
      </w:r>
      <w:r>
        <w:rPr>
          <w:rFonts w:hint="eastAsia" w:ascii="宋体" w:hAnsi="宋体" w:cs="宋体"/>
          <w:b w:val="0"/>
          <w:bCs/>
          <w:sz w:val="24"/>
          <w:szCs w:val="22"/>
          <w:lang w:val="en-US" w:eastAsia="zh-CN"/>
        </w:rPr>
        <w:t>油脂</w:t>
      </w:r>
      <w:r>
        <w:rPr>
          <w:rFonts w:hint="eastAsia" w:ascii="宋体" w:hAnsi="宋体" w:cs="宋体"/>
          <w:b w:val="0"/>
          <w:bCs/>
          <w:sz w:val="24"/>
          <w:szCs w:val="22"/>
          <w:lang w:val="en-US" w:eastAsia="zh-CN"/>
        </w:rPr>
        <w:fldChar w:fldCharType="end"/>
      </w:r>
      <w:r>
        <w:rPr>
          <w:rFonts w:hint="eastAsia" w:ascii="宋体" w:hAnsi="宋体" w:cs="宋体"/>
          <w:b w:val="0"/>
          <w:bCs/>
          <w:sz w:val="24"/>
          <w:szCs w:val="22"/>
          <w:lang w:val="en-US" w:eastAsia="zh-CN"/>
        </w:rPr>
        <w:t>和蜡的</w:t>
      </w:r>
      <w:r>
        <w:rPr>
          <w:rFonts w:hint="eastAsia" w:ascii="宋体" w:hAnsi="宋体" w:cs="宋体"/>
          <w:b w:val="0"/>
          <w:bCs/>
          <w:sz w:val="24"/>
          <w:szCs w:val="22"/>
          <w:lang w:val="en-US" w:eastAsia="zh-CN"/>
        </w:rPr>
        <w:fldChar w:fldCharType="begin"/>
      </w:r>
      <w:r>
        <w:rPr>
          <w:rFonts w:hint="eastAsia" w:ascii="宋体" w:hAnsi="宋体" w:cs="宋体"/>
          <w:b w:val="0"/>
          <w:bCs/>
          <w:sz w:val="24"/>
          <w:szCs w:val="22"/>
          <w:lang w:val="en-US" w:eastAsia="zh-CN"/>
        </w:rPr>
        <w:instrText xml:space="preserve"> HYPERLINK "https://baike.baidu.com/item/%E6%BC%82%E7%99%BD%E7%B2%BE" \t "https://baike.baidu.com/item/%E4%BA%9A%E6%B0%AF%E9%85%B8%E9%92%A0/_blank" </w:instrText>
      </w:r>
      <w:r>
        <w:rPr>
          <w:rFonts w:hint="eastAsia" w:ascii="宋体" w:hAnsi="宋体" w:cs="宋体"/>
          <w:b w:val="0"/>
          <w:bCs/>
          <w:sz w:val="24"/>
          <w:szCs w:val="22"/>
          <w:lang w:val="en-US" w:eastAsia="zh-CN"/>
        </w:rPr>
        <w:fldChar w:fldCharType="separate"/>
      </w:r>
      <w:r>
        <w:rPr>
          <w:rFonts w:hint="eastAsia" w:ascii="宋体" w:hAnsi="宋体" w:cs="宋体"/>
          <w:b w:val="0"/>
          <w:bCs/>
          <w:sz w:val="24"/>
          <w:szCs w:val="22"/>
          <w:lang w:val="en-US" w:eastAsia="zh-CN"/>
        </w:rPr>
        <w:t>漂白精</w:t>
      </w:r>
      <w:r>
        <w:rPr>
          <w:rFonts w:hint="eastAsia" w:ascii="宋体" w:hAnsi="宋体" w:cs="宋体"/>
          <w:b w:val="0"/>
          <w:bCs/>
          <w:sz w:val="24"/>
          <w:szCs w:val="22"/>
          <w:lang w:val="en-US" w:eastAsia="zh-CN"/>
        </w:rPr>
        <w:fldChar w:fldCharType="end"/>
      </w:r>
      <w:r>
        <w:rPr>
          <w:rFonts w:hint="eastAsia" w:ascii="宋体" w:hAnsi="宋体" w:cs="宋体"/>
          <w:b w:val="0"/>
          <w:bCs/>
          <w:sz w:val="24"/>
          <w:szCs w:val="22"/>
          <w:lang w:val="en-US" w:eastAsia="zh-CN"/>
        </w:rPr>
        <w:t>炼，以及某些金属的表面处理，阴丹士林染色的拔染剂等。</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center"/>
        <w:textAlignment w:val="auto"/>
        <w:rPr>
          <w:rFonts w:hint="eastAsia" w:ascii="宋体" w:hAnsi="宋体" w:cs="宋体"/>
          <w:b w:val="0"/>
          <w:bCs/>
          <w:sz w:val="24"/>
          <w:szCs w:val="22"/>
          <w:lang w:val="en-US" w:eastAsia="zh-CN"/>
        </w:rPr>
      </w:pPr>
      <w:r>
        <w:rPr>
          <w:rFonts w:hint="eastAsia" w:ascii="宋体" w:hAnsi="宋体" w:cs="宋体"/>
          <w:b w:val="0"/>
          <w:bCs/>
          <w:sz w:val="24"/>
          <w:szCs w:val="22"/>
          <w:lang w:val="en-US" w:eastAsia="zh-CN"/>
        </w:rPr>
        <w:drawing>
          <wp:inline distT="0" distB="0" distL="114300" distR="114300">
            <wp:extent cx="4758055" cy="3288030"/>
            <wp:effectExtent l="0" t="0" r="2540" b="4445"/>
            <wp:docPr id="5"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IMG_256"/>
                    <pic:cNvPicPr>
                      <a:picLocks noChangeAspect="1"/>
                    </pic:cNvPicPr>
                  </pic:nvPicPr>
                  <pic:blipFill>
                    <a:blip r:embed="rId10"/>
                    <a:srcRect r="93" b="13700"/>
                    <a:stretch>
                      <a:fillRect/>
                    </a:stretch>
                  </pic:blipFill>
                  <pic:spPr>
                    <a:xfrm>
                      <a:off x="0" y="0"/>
                      <a:ext cx="4758055" cy="3288030"/>
                    </a:xfrm>
                    <a:prstGeom prst="rect">
                      <a:avLst/>
                    </a:prstGeom>
                    <a:noFill/>
                    <a:ln w="9525">
                      <a:noFill/>
                    </a:ln>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left"/>
        <w:textAlignment w:val="auto"/>
        <w:rPr>
          <w:rFonts w:hint="eastAsia" w:ascii="宋体" w:hAnsi="宋体" w:cs="宋体"/>
          <w:b w:val="0"/>
          <w:bCs/>
          <w:sz w:val="24"/>
          <w:szCs w:val="22"/>
          <w:lang w:val="en-US" w:eastAsia="zh-CN"/>
        </w:rPr>
      </w:pPr>
      <w:r>
        <w:rPr>
          <w:rFonts w:hint="eastAsia" w:ascii="宋体" w:hAnsi="宋体" w:cs="宋体"/>
          <w:b w:val="0"/>
          <w:bCs/>
          <w:sz w:val="24"/>
          <w:szCs w:val="22"/>
          <w:lang w:val="en-US" w:eastAsia="zh-CN"/>
        </w:rPr>
        <w:t>2、三氯化磷</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both"/>
        <w:textAlignment w:val="auto"/>
        <w:rPr>
          <w:rFonts w:hint="eastAsia"/>
          <w:lang w:val="en-US" w:eastAsia="zh-CN"/>
        </w:rPr>
      </w:pPr>
      <w:r>
        <w:rPr>
          <w:rFonts w:hint="eastAsia" w:ascii="宋体" w:hAnsi="宋体" w:cs="宋体"/>
          <w:b w:val="0"/>
          <w:bCs/>
          <w:sz w:val="24"/>
          <w:szCs w:val="22"/>
          <w:lang w:val="en-US" w:eastAsia="zh-CN"/>
        </w:rPr>
        <w:t>三氯化磷是一种无机物，色澄清液体，在潮湿空气中发烟，化学式为PCl3，是制造敌百虫、敌敌畏、甲胺磷、乙酰甲胺磷、三氯氧磷、亚磷酸、磷酸三苯酯和磷酸三酚酯的原料，是一种氯代试剂，能够与氧杂、氮杂、硫杂、双烯等化合物剧烈反应，也可与有机金属化合物、金属盐反应，是合成含磷金属配体的磷源</w:t>
      </w:r>
      <w:r>
        <w:rPr>
          <w:rFonts w:hint="eastAsia"/>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both"/>
        <w:textAlignment w:val="auto"/>
        <w:rPr>
          <w:rFonts w:hint="default"/>
          <w:lang w:val="en-US" w:eastAsia="zh-CN"/>
        </w:rPr>
      </w:pPr>
      <w:r>
        <w:drawing>
          <wp:inline distT="0" distB="0" distL="114300" distR="114300">
            <wp:extent cx="3619500" cy="2465705"/>
            <wp:effectExtent l="0" t="0" r="7620" b="6350"/>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pic:cNvPicPr>
                  </pic:nvPicPr>
                  <pic:blipFill>
                    <a:blip r:embed="rId11"/>
                    <a:stretch>
                      <a:fillRect/>
                    </a:stretch>
                  </pic:blipFill>
                  <pic:spPr>
                    <a:xfrm>
                      <a:off x="0" y="0"/>
                      <a:ext cx="3619500" cy="2465705"/>
                    </a:xfrm>
                    <a:prstGeom prst="rect">
                      <a:avLst/>
                    </a:prstGeom>
                    <a:noFill/>
                    <a:ln>
                      <a:noFill/>
                    </a:ln>
                  </pic:spPr>
                </pic:pic>
              </a:graphicData>
            </a:graphic>
          </wp:inline>
        </w:drawing>
      </w:r>
    </w:p>
    <w:p>
      <w:pPr>
        <w:ind w:firstLine="480" w:firstLineChars="200"/>
        <w:rPr>
          <w:rFonts w:ascii="宋体" w:hAnsi="宋体"/>
        </w:rPr>
      </w:pPr>
      <w:r>
        <w:rPr>
          <w:rFonts w:hint="eastAsia" w:ascii="宋体" w:hAnsi="宋体"/>
        </w:rPr>
        <w:t>（</w:t>
      </w:r>
      <w:r>
        <w:rPr>
          <w:rFonts w:hint="eastAsia" w:ascii="宋体" w:hAnsi="宋体"/>
          <w:lang w:val="en-US" w:eastAsia="zh-CN"/>
        </w:rPr>
        <w:t>二</w:t>
      </w:r>
      <w:r>
        <w:rPr>
          <w:rFonts w:hint="eastAsia" w:ascii="宋体" w:hAnsi="宋体"/>
        </w:rPr>
        <w:t>）主要业务模式</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lang w:val="en-US" w:eastAsia="zh-CN"/>
        </w:rPr>
      </w:pPr>
      <w:bookmarkStart w:id="31" w:name="_Hlk31887174"/>
      <w:r>
        <w:rPr>
          <w:rFonts w:hint="eastAsia"/>
          <w:lang w:val="en-US" w:eastAsia="zh-CN"/>
        </w:rPr>
        <w:t>1、采购模式</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lang w:val="en-US" w:eastAsia="zh-CN"/>
        </w:rPr>
      </w:pPr>
      <w:r>
        <w:rPr>
          <w:rFonts w:hint="eastAsia"/>
          <w:lang w:val="en-US" w:eastAsia="zh-CN"/>
        </w:rPr>
        <w:t>公司建立了一系列完善的采购管理制度，包括《采购控制程序》、《供应商评审程序》、《来料检验程序》等并予以严格执行。该等制度的有效实施确保了公司采购流程的简捷、高效、受控，出入库及存货管理严格、规范、有序。公司所有的材料，一般都选择两个及两个以上的供货商，以提高供货的安全性，并在供货质量和价格上形成竞争关系。</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lang w:val="en-US" w:eastAsia="zh-CN"/>
        </w:rPr>
      </w:pPr>
      <w:r>
        <w:rPr>
          <w:rFonts w:hint="eastAsia"/>
          <w:lang w:val="en-US" w:eastAsia="zh-CN"/>
        </w:rPr>
        <w:t>2、销售模式</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lang w:val="en-US" w:eastAsia="zh-CN"/>
        </w:rPr>
      </w:pPr>
      <w:r>
        <w:rPr>
          <w:rFonts w:hint="eastAsia"/>
          <w:lang w:val="en-US" w:eastAsia="zh-CN"/>
        </w:rPr>
        <w:t>公司主要采用直销、经销模式进行销售，通过代销上游基础化工原料及产品，委派销售人员直接寻找终端客户和提供技术支持。直销模式有利于公司与客户面对面的沟通，通过双方商务及技术人员的多层次沟通，了解产品使用环境和技术要求，贴近和满足客户的实际需求。这种扁平化的销售模式有利于与客户建立起稳固的合作关系。</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lang w:val="en-US" w:eastAsia="zh-CN"/>
        </w:rPr>
      </w:pPr>
      <w:r>
        <w:rPr>
          <w:rFonts w:hint="eastAsia"/>
          <w:lang w:val="en-US" w:eastAsia="zh-CN"/>
        </w:rPr>
        <w:t>3、盈利模式</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lang w:val="en-US" w:eastAsia="zh-CN"/>
        </w:rPr>
      </w:pPr>
      <w:r>
        <w:rPr>
          <w:rFonts w:hint="eastAsia"/>
          <w:lang w:val="en-US" w:eastAsia="zh-CN"/>
        </w:rPr>
        <w:t>公司的销售与服务模式能够最大限度的稳定公司与客户关系，公司以客户需求为导向的销售模式，提升了客户对公司提供服务的满意度以及依赖性，积攒了一批固定客户群，稳定的下游客户有助于公司减少资金链不足的风险。</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highlight w:val="none"/>
        </w:rPr>
      </w:pPr>
      <w:r>
        <w:rPr>
          <w:rFonts w:hint="eastAsia"/>
          <w:lang w:val="en-US" w:eastAsia="zh-CN"/>
        </w:rPr>
        <w:t>目前，公司凭借良好的市场口碑、优质的服务质量，已取得一定的竞争优势。未来，公司将通过整合人才资源，挖掘行业信息，拓宽经营范围，打通上、下游</w:t>
      </w:r>
      <w:r>
        <w:rPr>
          <w:rFonts w:hint="eastAsia"/>
          <w:highlight w:val="none"/>
          <w:lang w:val="en-US" w:eastAsia="zh-CN"/>
        </w:rPr>
        <w:t>产业链</w:t>
      </w:r>
      <w:r>
        <w:rPr>
          <w:rFonts w:hint="eastAsia" w:ascii="宋体" w:hAnsi="宋体" w:cs="宋体"/>
          <w:color w:val="000000" w:themeColor="text1"/>
          <w:highlight w:val="none"/>
          <w:lang w:val="en-US" w:eastAsia="zh-CN"/>
          <w14:textFill>
            <w14:solidFill>
              <w14:schemeClr w14:val="tx1"/>
            </w14:solidFill>
          </w14:textFill>
        </w:rPr>
        <w:t>。</w:t>
      </w:r>
      <w:bookmarkEnd w:id="31"/>
    </w:p>
    <w:p>
      <w:pPr>
        <w:pStyle w:val="3"/>
        <w:ind w:left="480"/>
        <w:rPr>
          <w:highlight w:val="none"/>
        </w:rPr>
      </w:pPr>
      <w:bookmarkStart w:id="32" w:name="_Toc17843"/>
      <w:r>
        <w:rPr>
          <w:rFonts w:hint="eastAsia"/>
          <w:highlight w:val="none"/>
        </w:rPr>
        <w:t>五、公司财务报表简表</w:t>
      </w:r>
      <w:bookmarkEnd w:id="32"/>
    </w:p>
    <w:p>
      <w:pPr>
        <w:numPr>
          <w:ilvl w:val="0"/>
          <w:numId w:val="2"/>
        </w:numPr>
        <w:ind w:firstLine="480"/>
        <w:rPr>
          <w:rFonts w:ascii="宋体" w:hAnsi="宋体"/>
        </w:rPr>
      </w:pPr>
      <w:bookmarkStart w:id="33" w:name="_Toc248204895"/>
      <w:r>
        <w:rPr>
          <w:rFonts w:hint="eastAsia" w:ascii="宋体" w:hAnsi="宋体"/>
        </w:rPr>
        <w:t>资产负债表</w:t>
      </w:r>
      <w:bookmarkEnd w:id="33"/>
      <w:bookmarkStart w:id="34" w:name="_Toc248204896"/>
    </w:p>
    <w:tbl>
      <w:tblPr>
        <w:tblStyle w:val="12"/>
        <w:tblW w:w="8744" w:type="dxa"/>
        <w:tblInd w:w="99" w:type="dxa"/>
        <w:shd w:val="clear" w:color="auto" w:fill="auto"/>
        <w:tblLayout w:type="fixed"/>
        <w:tblCellMar>
          <w:top w:w="0" w:type="dxa"/>
          <w:left w:w="108" w:type="dxa"/>
          <w:bottom w:w="0" w:type="dxa"/>
          <w:right w:w="108" w:type="dxa"/>
        </w:tblCellMar>
      </w:tblPr>
      <w:tblGrid>
        <w:gridCol w:w="2504"/>
        <w:gridCol w:w="1200"/>
        <w:gridCol w:w="1760"/>
        <w:gridCol w:w="1726"/>
        <w:gridCol w:w="1554"/>
      </w:tblGrid>
      <w:tr>
        <w:tblPrEx>
          <w:tblCellMar>
            <w:top w:w="0" w:type="dxa"/>
            <w:left w:w="108" w:type="dxa"/>
            <w:bottom w:w="0" w:type="dxa"/>
            <w:right w:w="108" w:type="dxa"/>
          </w:tblCellMar>
        </w:tblPrEx>
        <w:trPr>
          <w:trHeight w:val="510" w:hRule="atLeast"/>
        </w:trPr>
        <w:tc>
          <w:tcPr>
            <w:tcW w:w="8744" w:type="dxa"/>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资产负债表</w:t>
            </w:r>
          </w:p>
        </w:tc>
      </w:tr>
      <w:tr>
        <w:tblPrEx>
          <w:tblCellMar>
            <w:top w:w="0" w:type="dxa"/>
            <w:left w:w="108" w:type="dxa"/>
            <w:bottom w:w="0" w:type="dxa"/>
            <w:right w:w="108" w:type="dxa"/>
          </w:tblCellMar>
        </w:tblPrEx>
        <w:trPr>
          <w:trHeight w:val="315" w:hRule="atLeast"/>
        </w:trPr>
        <w:tc>
          <w:tcPr>
            <w:tcW w:w="8744" w:type="dxa"/>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2021年6月30日</w:t>
            </w:r>
          </w:p>
        </w:tc>
      </w:tr>
      <w:tr>
        <w:tblPrEx>
          <w:tblCellMar>
            <w:top w:w="0" w:type="dxa"/>
            <w:left w:w="108" w:type="dxa"/>
            <w:bottom w:w="0" w:type="dxa"/>
            <w:right w:w="108" w:type="dxa"/>
          </w:tblCellMar>
        </w:tblPrEx>
        <w:trPr>
          <w:trHeight w:val="270" w:hRule="atLeast"/>
        </w:trPr>
        <w:tc>
          <w:tcPr>
            <w:tcW w:w="2504" w:type="dxa"/>
            <w:tcBorders>
              <w:top w:val="nil"/>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编制单位：淄博德昶泰经贸有限公司</w:t>
            </w:r>
          </w:p>
        </w:tc>
        <w:tc>
          <w:tcPr>
            <w:tcW w:w="1200" w:type="dxa"/>
            <w:tcBorders>
              <w:top w:val="nil"/>
              <w:left w:val="nil"/>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760"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726" w:type="dxa"/>
            <w:tcBorders>
              <w:top w:val="nil"/>
              <w:left w:val="nil"/>
              <w:bottom w:val="single" w:color="000000" w:sz="4" w:space="0"/>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54"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单位:元  </w:t>
            </w:r>
          </w:p>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币种:人民币</w:t>
            </w:r>
          </w:p>
        </w:tc>
      </w:tr>
      <w:tr>
        <w:tblPrEx>
          <w:tblCellMar>
            <w:top w:w="0" w:type="dxa"/>
            <w:left w:w="108" w:type="dxa"/>
            <w:bottom w:w="0" w:type="dxa"/>
            <w:right w:w="108" w:type="dxa"/>
          </w:tblCellMar>
        </w:tblPrEx>
        <w:trPr>
          <w:trHeight w:val="315" w:hRule="atLeast"/>
        </w:trPr>
        <w:tc>
          <w:tcPr>
            <w:tcW w:w="2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项目 </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附注 </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2021年6月30日</w:t>
            </w: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2020年12月31日</w:t>
            </w: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2020年1月1日</w:t>
            </w:r>
          </w:p>
        </w:tc>
      </w:tr>
      <w:tr>
        <w:tblPrEx>
          <w:tblCellMar>
            <w:top w:w="0" w:type="dxa"/>
            <w:left w:w="108" w:type="dxa"/>
            <w:bottom w:w="0" w:type="dxa"/>
            <w:right w:w="108" w:type="dxa"/>
          </w:tblCellMar>
        </w:tblPrEx>
        <w:trPr>
          <w:trHeight w:val="315" w:hRule="atLeast"/>
        </w:trPr>
        <w:tc>
          <w:tcPr>
            <w:tcW w:w="250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流动资产： </w:t>
            </w:r>
          </w:p>
        </w:tc>
        <w:tc>
          <w:tcPr>
            <w:tcW w:w="1200" w:type="dxa"/>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Arial Narrow" w:hAnsi="Arial Narrow" w:eastAsia="Arial Narrow" w:cs="Arial Narrow"/>
                <w:b/>
                <w:bCs/>
                <w:i w:val="0"/>
                <w:iCs w:val="0"/>
                <w:color w:val="000000"/>
                <w:sz w:val="18"/>
                <w:szCs w:val="18"/>
                <w:u w:val="none"/>
              </w:rPr>
            </w:pPr>
          </w:p>
        </w:tc>
        <w:tc>
          <w:tcPr>
            <w:tcW w:w="1760" w:type="dxa"/>
            <w:tcBorders>
              <w:top w:val="nil"/>
              <w:left w:val="single" w:color="000000" w:sz="4" w:space="0"/>
              <w:bottom w:val="single" w:color="000000" w:sz="4" w:space="0"/>
              <w:right w:val="single" w:color="000000" w:sz="4" w:space="0"/>
            </w:tcBorders>
            <w:shd w:val="clear" w:color="auto" w:fill="auto"/>
            <w:noWrap/>
            <w:vAlign w:val="center"/>
          </w:tcPr>
          <w:p>
            <w:pPr>
              <w:jc w:val="center"/>
              <w:rPr>
                <w:rFonts w:hint="default" w:ascii="Arial Narrow" w:hAnsi="Arial Narrow" w:eastAsia="Arial Narrow" w:cs="Arial Narrow"/>
                <w:b/>
                <w:bCs/>
                <w:i w:val="0"/>
                <w:iCs w:val="0"/>
                <w:color w:val="000000"/>
                <w:sz w:val="18"/>
                <w:szCs w:val="18"/>
                <w:u w:val="none"/>
              </w:rPr>
            </w:pPr>
          </w:p>
        </w:tc>
        <w:tc>
          <w:tcPr>
            <w:tcW w:w="1726" w:type="dxa"/>
            <w:tcBorders>
              <w:top w:val="nil"/>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b/>
                <w:bCs/>
                <w:i w:val="0"/>
                <w:iCs w:val="0"/>
                <w:color w:val="000000"/>
                <w:sz w:val="18"/>
                <w:szCs w:val="18"/>
                <w:u w:val="none"/>
              </w:rPr>
            </w:pPr>
          </w:p>
        </w:tc>
        <w:tc>
          <w:tcPr>
            <w:tcW w:w="1554" w:type="dxa"/>
            <w:tcBorders>
              <w:top w:val="nil"/>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b/>
                <w:bCs/>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2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货币资金 </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五、（一） </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71,479.04 </w:t>
            </w: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221,782.00 </w:t>
            </w: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67,928.80 </w:t>
            </w:r>
          </w:p>
        </w:tc>
      </w:tr>
      <w:tr>
        <w:tblPrEx>
          <w:tblCellMar>
            <w:top w:w="0" w:type="dxa"/>
            <w:left w:w="108" w:type="dxa"/>
            <w:bottom w:w="0" w:type="dxa"/>
            <w:right w:w="108" w:type="dxa"/>
          </w:tblCellMar>
        </w:tblPrEx>
        <w:trPr>
          <w:trHeight w:val="315" w:hRule="atLeast"/>
        </w:trPr>
        <w:tc>
          <w:tcPr>
            <w:tcW w:w="2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交易性金融资产 </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Narrow" w:hAnsi="Arial Narrow" w:eastAsia="Arial Narrow" w:cs="Arial Narrow"/>
                <w:i w:val="0"/>
                <w:iCs w:val="0"/>
                <w:color w:val="000000"/>
                <w:sz w:val="18"/>
                <w:szCs w:val="18"/>
                <w:u w:val="none"/>
              </w:rPr>
            </w:pP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2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以公允价值计量且其变动计入当期损益的金融资产 </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Narrow" w:hAnsi="Arial Narrow" w:eastAsia="Arial Narrow" w:cs="Arial Narrow"/>
                <w:i w:val="0"/>
                <w:iCs w:val="0"/>
                <w:color w:val="000000"/>
                <w:sz w:val="18"/>
                <w:szCs w:val="18"/>
                <w:u w:val="none"/>
              </w:rPr>
            </w:pP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2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衍生金融资产 </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2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应收票据 </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2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应收账款 </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五、（二） </w:t>
            </w: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2,726,751.27 </w:t>
            </w: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2,490,318.00 </w:t>
            </w: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5,250,451.68 </w:t>
            </w:r>
          </w:p>
        </w:tc>
      </w:tr>
      <w:tr>
        <w:tblPrEx>
          <w:tblCellMar>
            <w:top w:w="0" w:type="dxa"/>
            <w:left w:w="108" w:type="dxa"/>
            <w:bottom w:w="0" w:type="dxa"/>
            <w:right w:w="108" w:type="dxa"/>
          </w:tblCellMar>
        </w:tblPrEx>
        <w:trPr>
          <w:trHeight w:val="315" w:hRule="atLeast"/>
        </w:trPr>
        <w:tc>
          <w:tcPr>
            <w:tcW w:w="2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应收款项融资 </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2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预付款项 </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2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其他应收款 </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2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其中：应收利息 </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2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应收股利 </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2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存货 </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2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持有待售资产 </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2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一年内到期的非流动资产 </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2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其他流动资产 </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2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流动资产合计 </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2,798,230.31 </w:t>
            </w: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2,712,100.00 </w:t>
            </w: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5,318,380.48 </w:t>
            </w:r>
          </w:p>
        </w:tc>
      </w:tr>
      <w:tr>
        <w:tblPrEx>
          <w:tblCellMar>
            <w:top w:w="0" w:type="dxa"/>
            <w:left w:w="108" w:type="dxa"/>
            <w:bottom w:w="0" w:type="dxa"/>
            <w:right w:w="108" w:type="dxa"/>
          </w:tblCellMar>
        </w:tblPrEx>
        <w:trPr>
          <w:trHeight w:val="315" w:hRule="atLeast"/>
        </w:trPr>
        <w:tc>
          <w:tcPr>
            <w:tcW w:w="2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非流动资产： </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b/>
                <w:bCs/>
                <w:i w:val="0"/>
                <w:iCs w:val="0"/>
                <w:color w:val="000000"/>
                <w:sz w:val="18"/>
                <w:szCs w:val="18"/>
                <w:u w:val="none"/>
              </w:rPr>
            </w:pP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b/>
                <w:bCs/>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2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债权投资 </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Narrow" w:hAnsi="Arial Narrow" w:eastAsia="Arial Narrow" w:cs="Arial Narrow"/>
                <w:i w:val="0"/>
                <w:iCs w:val="0"/>
                <w:color w:val="000000"/>
                <w:sz w:val="18"/>
                <w:szCs w:val="18"/>
                <w:u w:val="none"/>
              </w:rPr>
            </w:pP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2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可供出售金融资产 </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Narrow" w:hAnsi="Arial Narrow" w:eastAsia="Arial Narrow" w:cs="Arial Narrow"/>
                <w:i w:val="0"/>
                <w:iCs w:val="0"/>
                <w:color w:val="000000"/>
                <w:sz w:val="18"/>
                <w:szCs w:val="18"/>
                <w:u w:val="none"/>
              </w:rPr>
            </w:pP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2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其他债权投资 </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Narrow" w:hAnsi="Arial Narrow" w:eastAsia="Arial Narrow" w:cs="Arial Narrow"/>
                <w:i w:val="0"/>
                <w:iCs w:val="0"/>
                <w:color w:val="000000"/>
                <w:sz w:val="18"/>
                <w:szCs w:val="18"/>
                <w:u w:val="none"/>
              </w:rPr>
            </w:pP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Narrow" w:hAnsi="Arial Narrow" w:eastAsia="Arial Narrow" w:cs="Arial Narrow"/>
                <w:i w:val="0"/>
                <w:iCs w:val="0"/>
                <w:color w:val="000000"/>
                <w:sz w:val="18"/>
                <w:szCs w:val="18"/>
                <w:u w:val="none"/>
              </w:rPr>
            </w:pP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2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持有至到期投资 </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Narrow" w:hAnsi="Arial Narrow" w:eastAsia="Arial Narrow" w:cs="Arial Narrow"/>
                <w:i w:val="0"/>
                <w:iCs w:val="0"/>
                <w:color w:val="000000"/>
                <w:sz w:val="18"/>
                <w:szCs w:val="18"/>
                <w:u w:val="none"/>
              </w:rPr>
            </w:pP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2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长期应收款 </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2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长期股权投资 </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2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其他权益工具投资 </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Narrow" w:hAnsi="Arial Narrow" w:eastAsia="Arial Narrow" w:cs="Arial Narrow"/>
                <w:i w:val="0"/>
                <w:iCs w:val="0"/>
                <w:color w:val="000000"/>
                <w:sz w:val="18"/>
                <w:szCs w:val="18"/>
                <w:u w:val="none"/>
              </w:rPr>
            </w:pP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2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其他非流动金融资产 </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Narrow" w:hAnsi="Arial Narrow" w:eastAsia="Arial Narrow" w:cs="Arial Narrow"/>
                <w:i w:val="0"/>
                <w:iCs w:val="0"/>
                <w:color w:val="000000"/>
                <w:sz w:val="18"/>
                <w:szCs w:val="18"/>
                <w:u w:val="none"/>
              </w:rPr>
            </w:pP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2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投资性房地产 </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2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固定资产 </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2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在建工程 </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2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生产性生物资产 </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2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油气资产 </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2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无形资产 </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2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开发支出 </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2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商誉 </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2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长期待摊费用 </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2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递延所得税资产 </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2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其他非流动资产 </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2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非流动资产合计 </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   </w:t>
            </w: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   </w:t>
            </w: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   </w:t>
            </w:r>
          </w:p>
        </w:tc>
      </w:tr>
      <w:tr>
        <w:tblPrEx>
          <w:tblCellMar>
            <w:top w:w="0" w:type="dxa"/>
            <w:left w:w="108" w:type="dxa"/>
            <w:bottom w:w="0" w:type="dxa"/>
            <w:right w:w="108" w:type="dxa"/>
          </w:tblCellMar>
        </w:tblPrEx>
        <w:trPr>
          <w:trHeight w:val="315" w:hRule="atLeast"/>
        </w:trPr>
        <w:tc>
          <w:tcPr>
            <w:tcW w:w="2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资产总计 </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2,798,230.31 </w:t>
            </w:r>
          </w:p>
        </w:tc>
        <w:tc>
          <w:tcPr>
            <w:tcW w:w="1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2,712,100.00 </w:t>
            </w: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5,318,380.48 </w:t>
            </w:r>
          </w:p>
        </w:tc>
      </w:tr>
    </w:tbl>
    <w:p>
      <w:pPr>
        <w:rPr>
          <w:rFonts w:ascii="宋体" w:hAnsi="宋体"/>
        </w:rPr>
      </w:pPr>
    </w:p>
    <w:tbl>
      <w:tblPr>
        <w:tblStyle w:val="12"/>
        <w:tblW w:w="8423" w:type="dxa"/>
        <w:tblInd w:w="99" w:type="dxa"/>
        <w:shd w:val="clear" w:color="auto" w:fill="auto"/>
        <w:tblLayout w:type="fixed"/>
        <w:tblCellMar>
          <w:top w:w="0" w:type="dxa"/>
          <w:left w:w="108" w:type="dxa"/>
          <w:bottom w:w="0" w:type="dxa"/>
          <w:right w:w="108" w:type="dxa"/>
        </w:tblCellMar>
      </w:tblPr>
      <w:tblGrid>
        <w:gridCol w:w="2413"/>
        <w:gridCol w:w="1040"/>
        <w:gridCol w:w="1577"/>
        <w:gridCol w:w="1740"/>
        <w:gridCol w:w="1653"/>
      </w:tblGrid>
      <w:tr>
        <w:tblPrEx>
          <w:tblCellMar>
            <w:top w:w="0" w:type="dxa"/>
            <w:left w:w="108" w:type="dxa"/>
            <w:bottom w:w="0" w:type="dxa"/>
            <w:right w:w="108" w:type="dxa"/>
          </w:tblCellMar>
        </w:tblPrEx>
        <w:trPr>
          <w:trHeight w:val="405" w:hRule="atLeast"/>
        </w:trPr>
        <w:tc>
          <w:tcPr>
            <w:tcW w:w="8423" w:type="dxa"/>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资产负债表（续）</w:t>
            </w:r>
          </w:p>
        </w:tc>
      </w:tr>
      <w:tr>
        <w:tblPrEx>
          <w:tblCellMar>
            <w:top w:w="0" w:type="dxa"/>
            <w:left w:w="108" w:type="dxa"/>
            <w:bottom w:w="0" w:type="dxa"/>
            <w:right w:w="108" w:type="dxa"/>
          </w:tblCellMar>
        </w:tblPrEx>
        <w:trPr>
          <w:trHeight w:val="315" w:hRule="atLeast"/>
        </w:trPr>
        <w:tc>
          <w:tcPr>
            <w:tcW w:w="8423" w:type="dxa"/>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2021年6月30日</w:t>
            </w:r>
          </w:p>
        </w:tc>
      </w:tr>
      <w:tr>
        <w:tblPrEx>
          <w:tblCellMar>
            <w:top w:w="0" w:type="dxa"/>
            <w:left w:w="108" w:type="dxa"/>
            <w:bottom w:w="0" w:type="dxa"/>
            <w:right w:w="108" w:type="dxa"/>
          </w:tblCellMar>
        </w:tblPrEx>
        <w:trPr>
          <w:trHeight w:val="270" w:hRule="atLeast"/>
        </w:trPr>
        <w:tc>
          <w:tcPr>
            <w:tcW w:w="2413" w:type="dxa"/>
            <w:tcBorders>
              <w:top w:val="nil"/>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编制单位：淄博德昶泰经贸有限公司</w:t>
            </w:r>
          </w:p>
        </w:tc>
        <w:tc>
          <w:tcPr>
            <w:tcW w:w="1040" w:type="dxa"/>
            <w:tcBorders>
              <w:top w:val="nil"/>
              <w:left w:val="nil"/>
              <w:bottom w:val="single" w:color="000000"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1577" w:type="dxa"/>
            <w:tcBorders>
              <w:top w:val="nil"/>
              <w:left w:val="nil"/>
              <w:bottom w:val="single" w:color="000000"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1740" w:type="dxa"/>
            <w:tcBorders>
              <w:top w:val="nil"/>
              <w:left w:val="nil"/>
              <w:bottom w:val="single" w:color="000000" w:sz="4" w:space="0"/>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5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单位:元  </w:t>
            </w:r>
          </w:p>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币种:人民币</w:t>
            </w:r>
          </w:p>
        </w:tc>
      </w:tr>
      <w:tr>
        <w:tblPrEx>
          <w:tblCellMar>
            <w:top w:w="0" w:type="dxa"/>
            <w:left w:w="108" w:type="dxa"/>
            <w:bottom w:w="0" w:type="dxa"/>
            <w:right w:w="108" w:type="dxa"/>
          </w:tblCellMar>
        </w:tblPrEx>
        <w:trPr>
          <w:trHeight w:val="315" w:hRule="atLeast"/>
        </w:trPr>
        <w:tc>
          <w:tcPr>
            <w:tcW w:w="2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项目 </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附注 </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2021年6月30日</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2020年12月31日</w:t>
            </w:r>
          </w:p>
        </w:tc>
        <w:tc>
          <w:tcPr>
            <w:tcW w:w="1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2020年1月1日</w:t>
            </w:r>
          </w:p>
        </w:tc>
      </w:tr>
      <w:tr>
        <w:tblPrEx>
          <w:tblCellMar>
            <w:top w:w="0" w:type="dxa"/>
            <w:left w:w="108" w:type="dxa"/>
            <w:bottom w:w="0" w:type="dxa"/>
            <w:right w:w="108" w:type="dxa"/>
          </w:tblCellMar>
        </w:tblPrEx>
        <w:trPr>
          <w:trHeight w:val="315" w:hRule="atLeast"/>
        </w:trPr>
        <w:tc>
          <w:tcPr>
            <w:tcW w:w="241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流动负债： </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577" w:type="dxa"/>
            <w:tcBorders>
              <w:top w:val="nil"/>
              <w:left w:val="single" w:color="000000" w:sz="4" w:space="0"/>
              <w:bottom w:val="single" w:color="000000" w:sz="4" w:space="0"/>
              <w:right w:val="single" w:color="000000" w:sz="4" w:space="0"/>
            </w:tcBorders>
            <w:shd w:val="clear" w:color="auto" w:fill="auto"/>
            <w:noWrap/>
            <w:vAlign w:val="center"/>
          </w:tcPr>
          <w:p>
            <w:pPr>
              <w:rPr>
                <w:rFonts w:hint="eastAsia" w:ascii="Arial Narrow" w:hAnsi="Arial Narrow" w:eastAsia="Arial Narrow" w:cs="Arial Narrow"/>
                <w:b/>
                <w:bCs/>
                <w:i w:val="0"/>
                <w:iCs w:val="0"/>
                <w:color w:val="000000"/>
                <w:sz w:val="18"/>
                <w:szCs w:val="18"/>
                <w:u w:val="none"/>
              </w:rPr>
            </w:pPr>
          </w:p>
        </w:tc>
        <w:tc>
          <w:tcPr>
            <w:tcW w:w="1740" w:type="dxa"/>
            <w:tcBorders>
              <w:top w:val="nil"/>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b/>
                <w:bCs/>
                <w:i w:val="0"/>
                <w:iCs w:val="0"/>
                <w:color w:val="000000"/>
                <w:sz w:val="18"/>
                <w:szCs w:val="18"/>
                <w:u w:val="none"/>
              </w:rPr>
            </w:pPr>
          </w:p>
        </w:tc>
        <w:tc>
          <w:tcPr>
            <w:tcW w:w="1653" w:type="dxa"/>
            <w:tcBorders>
              <w:top w:val="nil"/>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b/>
                <w:bCs/>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2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短期借款 </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2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交易性金融负债 </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Narrow" w:hAnsi="Arial Narrow" w:eastAsia="Arial Narrow" w:cs="Arial Narrow"/>
                <w:i w:val="0"/>
                <w:iCs w:val="0"/>
                <w:color w:val="000000"/>
                <w:sz w:val="18"/>
                <w:szCs w:val="18"/>
                <w:u w:val="none"/>
              </w:rPr>
            </w:pPr>
          </w:p>
        </w:tc>
        <w:tc>
          <w:tcPr>
            <w:tcW w:w="1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2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以公允价值计量且其变动计入当期损益的金融负债 </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2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衍生金融负债 </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2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应付票据 </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2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应付账款 </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五、（三） </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1,750,974.21 </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1,775,845.03 </w:t>
            </w:r>
          </w:p>
        </w:tc>
        <w:tc>
          <w:tcPr>
            <w:tcW w:w="1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4,544,462.88 </w:t>
            </w:r>
          </w:p>
        </w:tc>
      </w:tr>
      <w:tr>
        <w:tblPrEx>
          <w:tblCellMar>
            <w:top w:w="0" w:type="dxa"/>
            <w:left w:w="108" w:type="dxa"/>
            <w:bottom w:w="0" w:type="dxa"/>
            <w:right w:w="108" w:type="dxa"/>
          </w:tblCellMar>
        </w:tblPrEx>
        <w:trPr>
          <w:trHeight w:val="315" w:hRule="atLeast"/>
        </w:trPr>
        <w:tc>
          <w:tcPr>
            <w:tcW w:w="2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预收款项 </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2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应付职工薪酬 </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2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应交税费 </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2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其他应付款 </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2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其中：应付利息 </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2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应付股利 </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2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持有待售负债 </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Narrow" w:hAnsi="Arial Narrow" w:eastAsia="Arial Narrow" w:cs="Arial Narrow"/>
                <w:i w:val="0"/>
                <w:iCs w:val="0"/>
                <w:color w:val="000000"/>
                <w:sz w:val="18"/>
                <w:szCs w:val="18"/>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2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一年内到期的非流动负债 </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2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其他流动负债 </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b/>
                <w:bCs/>
                <w:i w:val="0"/>
                <w:iCs w:val="0"/>
                <w:color w:val="000000"/>
                <w:sz w:val="18"/>
                <w:szCs w:val="18"/>
                <w:u w:val="none"/>
              </w:rPr>
            </w:pPr>
          </w:p>
        </w:tc>
        <w:tc>
          <w:tcPr>
            <w:tcW w:w="1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b/>
                <w:bCs/>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2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流动负债合计 </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1,750,974.21 </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1,775,845.03 </w:t>
            </w:r>
          </w:p>
        </w:tc>
        <w:tc>
          <w:tcPr>
            <w:tcW w:w="1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4,544,462.88 </w:t>
            </w:r>
          </w:p>
        </w:tc>
      </w:tr>
      <w:tr>
        <w:tblPrEx>
          <w:tblCellMar>
            <w:top w:w="0" w:type="dxa"/>
            <w:left w:w="108" w:type="dxa"/>
            <w:bottom w:w="0" w:type="dxa"/>
            <w:right w:w="108" w:type="dxa"/>
          </w:tblCellMar>
        </w:tblPrEx>
        <w:trPr>
          <w:trHeight w:val="315" w:hRule="atLeast"/>
        </w:trPr>
        <w:tc>
          <w:tcPr>
            <w:tcW w:w="2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非流动负债： </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b/>
                <w:bCs/>
                <w:i w:val="0"/>
                <w:iCs w:val="0"/>
                <w:color w:val="000000"/>
                <w:sz w:val="18"/>
                <w:szCs w:val="18"/>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2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长期借款 </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2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应付债券 </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2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其中：优先股 </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2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永续债  </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2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长期应付款 </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2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长期应付职工薪酬 </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2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预计负债 </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2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递延收益 </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2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递延所得税负债 </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2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其他非流动负债 </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b/>
                <w:bCs/>
                <w:i w:val="0"/>
                <w:iCs w:val="0"/>
                <w:color w:val="000000"/>
                <w:sz w:val="18"/>
                <w:szCs w:val="18"/>
                <w:u w:val="none"/>
              </w:rPr>
            </w:pPr>
          </w:p>
        </w:tc>
        <w:tc>
          <w:tcPr>
            <w:tcW w:w="1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b/>
                <w:bCs/>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2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非流动负债合计 </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   </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   </w:t>
            </w:r>
          </w:p>
        </w:tc>
        <w:tc>
          <w:tcPr>
            <w:tcW w:w="1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   </w:t>
            </w:r>
          </w:p>
        </w:tc>
      </w:tr>
      <w:tr>
        <w:tblPrEx>
          <w:tblCellMar>
            <w:top w:w="0" w:type="dxa"/>
            <w:left w:w="108" w:type="dxa"/>
            <w:bottom w:w="0" w:type="dxa"/>
            <w:right w:w="108" w:type="dxa"/>
          </w:tblCellMar>
        </w:tblPrEx>
        <w:trPr>
          <w:trHeight w:val="315" w:hRule="atLeast"/>
        </w:trPr>
        <w:tc>
          <w:tcPr>
            <w:tcW w:w="2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负债合计 </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1,750,974.21 </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1,775,845.03 </w:t>
            </w:r>
          </w:p>
        </w:tc>
        <w:tc>
          <w:tcPr>
            <w:tcW w:w="1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4,544,462.88 </w:t>
            </w:r>
          </w:p>
        </w:tc>
      </w:tr>
      <w:tr>
        <w:tblPrEx>
          <w:tblCellMar>
            <w:top w:w="0" w:type="dxa"/>
            <w:left w:w="108" w:type="dxa"/>
            <w:bottom w:w="0" w:type="dxa"/>
            <w:right w:w="108" w:type="dxa"/>
          </w:tblCellMar>
        </w:tblPrEx>
        <w:trPr>
          <w:trHeight w:val="315" w:hRule="atLeast"/>
        </w:trPr>
        <w:tc>
          <w:tcPr>
            <w:tcW w:w="2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所有者权益（或股东权益）： </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b/>
                <w:bCs/>
                <w:i w:val="0"/>
                <w:iCs w:val="0"/>
                <w:color w:val="000000"/>
                <w:sz w:val="18"/>
                <w:szCs w:val="18"/>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2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实收资本（或股本） </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五、（四） </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500,000.00 </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500,000.00 </w:t>
            </w:r>
          </w:p>
        </w:tc>
        <w:tc>
          <w:tcPr>
            <w:tcW w:w="1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500,000.00 </w:t>
            </w:r>
          </w:p>
        </w:tc>
      </w:tr>
      <w:tr>
        <w:tblPrEx>
          <w:tblCellMar>
            <w:top w:w="0" w:type="dxa"/>
            <w:left w:w="108" w:type="dxa"/>
            <w:bottom w:w="0" w:type="dxa"/>
            <w:right w:w="108" w:type="dxa"/>
          </w:tblCellMar>
        </w:tblPrEx>
        <w:trPr>
          <w:trHeight w:val="315" w:hRule="atLeast"/>
        </w:trPr>
        <w:tc>
          <w:tcPr>
            <w:tcW w:w="2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其他权益工具 </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2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其中：优先股 </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2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永续债  </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2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资本公积 </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2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减：库存股 </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2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其他综合收益 </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2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专项储备 </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2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盈余公积 </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2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未分配利润 </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五、（五） </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547,256.10 </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436,254.97 </w:t>
            </w:r>
          </w:p>
        </w:tc>
        <w:tc>
          <w:tcPr>
            <w:tcW w:w="1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273,917.60 </w:t>
            </w:r>
          </w:p>
        </w:tc>
      </w:tr>
      <w:tr>
        <w:tblPrEx>
          <w:tblCellMar>
            <w:top w:w="0" w:type="dxa"/>
            <w:left w:w="108" w:type="dxa"/>
            <w:bottom w:w="0" w:type="dxa"/>
            <w:right w:w="108" w:type="dxa"/>
          </w:tblCellMar>
        </w:tblPrEx>
        <w:trPr>
          <w:trHeight w:val="315" w:hRule="atLeast"/>
        </w:trPr>
        <w:tc>
          <w:tcPr>
            <w:tcW w:w="2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所有者权益（或股东权益）合计 </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1,047,256.10 </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936,254.97 </w:t>
            </w:r>
          </w:p>
        </w:tc>
        <w:tc>
          <w:tcPr>
            <w:tcW w:w="1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773,917.60 </w:t>
            </w:r>
          </w:p>
        </w:tc>
      </w:tr>
      <w:tr>
        <w:tblPrEx>
          <w:tblCellMar>
            <w:top w:w="0" w:type="dxa"/>
            <w:left w:w="108" w:type="dxa"/>
            <w:bottom w:w="0" w:type="dxa"/>
            <w:right w:w="108" w:type="dxa"/>
          </w:tblCellMar>
        </w:tblPrEx>
        <w:trPr>
          <w:trHeight w:val="315" w:hRule="atLeast"/>
        </w:trPr>
        <w:tc>
          <w:tcPr>
            <w:tcW w:w="2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负债和所有者权益（或股东权益）总计 </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bCs/>
                <w:i w:val="0"/>
                <w:iCs w:val="0"/>
                <w:color w:val="000000"/>
                <w:sz w:val="18"/>
                <w:szCs w:val="18"/>
                <w:u w:val="none"/>
              </w:rPr>
            </w:pP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2,798,230.31 </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2,712,100.00 </w:t>
            </w:r>
          </w:p>
        </w:tc>
        <w:tc>
          <w:tcPr>
            <w:tcW w:w="1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5,318,380.48 </w:t>
            </w:r>
          </w:p>
        </w:tc>
      </w:tr>
    </w:tbl>
    <w:p>
      <w:pPr>
        <w:rPr>
          <w:rFonts w:ascii="宋体" w:hAnsi="宋体"/>
        </w:rPr>
      </w:pPr>
    </w:p>
    <w:p>
      <w:pPr>
        <w:numPr>
          <w:ilvl w:val="0"/>
          <w:numId w:val="2"/>
        </w:numPr>
        <w:ind w:firstLine="480"/>
        <w:rPr>
          <w:rFonts w:ascii="宋体" w:hAnsi="宋体"/>
        </w:rPr>
      </w:pPr>
      <w:r>
        <w:rPr>
          <w:rFonts w:hint="eastAsia" w:ascii="宋体" w:hAnsi="宋体"/>
        </w:rPr>
        <w:t>利润表</w:t>
      </w:r>
      <w:bookmarkEnd w:id="34"/>
      <w:bookmarkStart w:id="35" w:name="_Hlk37328834"/>
    </w:p>
    <w:tbl>
      <w:tblPr>
        <w:tblStyle w:val="12"/>
        <w:tblW w:w="8423" w:type="dxa"/>
        <w:tblInd w:w="99" w:type="dxa"/>
        <w:shd w:val="clear" w:color="auto" w:fill="auto"/>
        <w:tblLayout w:type="fixed"/>
        <w:tblCellMar>
          <w:top w:w="0" w:type="dxa"/>
          <w:left w:w="108" w:type="dxa"/>
          <w:bottom w:w="0" w:type="dxa"/>
          <w:right w:w="108" w:type="dxa"/>
        </w:tblCellMar>
      </w:tblPr>
      <w:tblGrid>
        <w:gridCol w:w="3340"/>
        <w:gridCol w:w="1611"/>
        <w:gridCol w:w="1645"/>
        <w:gridCol w:w="1827"/>
      </w:tblGrid>
      <w:tr>
        <w:tblPrEx>
          <w:shd w:val="clear" w:color="auto" w:fill="auto"/>
          <w:tblCellMar>
            <w:top w:w="0" w:type="dxa"/>
            <w:left w:w="108" w:type="dxa"/>
            <w:bottom w:w="0" w:type="dxa"/>
            <w:right w:w="108" w:type="dxa"/>
          </w:tblCellMar>
        </w:tblPrEx>
        <w:trPr>
          <w:trHeight w:val="510" w:hRule="atLeast"/>
        </w:trPr>
        <w:tc>
          <w:tcPr>
            <w:tcW w:w="8423" w:type="dxa"/>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利润表</w:t>
            </w:r>
          </w:p>
        </w:tc>
      </w:tr>
      <w:tr>
        <w:tblPrEx>
          <w:tblCellMar>
            <w:top w:w="0" w:type="dxa"/>
            <w:left w:w="108" w:type="dxa"/>
            <w:bottom w:w="0" w:type="dxa"/>
            <w:right w:w="108" w:type="dxa"/>
          </w:tblCellMar>
        </w:tblPrEx>
        <w:trPr>
          <w:trHeight w:val="315" w:hRule="atLeast"/>
        </w:trPr>
        <w:tc>
          <w:tcPr>
            <w:tcW w:w="8423" w:type="dxa"/>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2021年1-6月</w:t>
            </w:r>
          </w:p>
        </w:tc>
      </w:tr>
      <w:tr>
        <w:tblPrEx>
          <w:tblCellMar>
            <w:top w:w="0" w:type="dxa"/>
            <w:left w:w="108" w:type="dxa"/>
            <w:bottom w:w="0" w:type="dxa"/>
            <w:right w:w="108" w:type="dxa"/>
          </w:tblCellMar>
        </w:tblPrEx>
        <w:trPr>
          <w:trHeight w:val="270" w:hRule="atLeast"/>
        </w:trPr>
        <w:tc>
          <w:tcPr>
            <w:tcW w:w="3340" w:type="dxa"/>
            <w:tcBorders>
              <w:top w:val="nil"/>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编制单位：淄博德昶泰经贸有限公司</w:t>
            </w:r>
          </w:p>
        </w:tc>
        <w:tc>
          <w:tcPr>
            <w:tcW w:w="1611" w:type="dxa"/>
            <w:tcBorders>
              <w:top w:val="nil"/>
              <w:left w:val="nil"/>
              <w:bottom w:val="single" w:color="000000"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164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1827" w:type="dxa"/>
            <w:tcBorders>
              <w:top w:val="nil"/>
              <w:left w:val="nil"/>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单位:元  </w:t>
            </w:r>
          </w:p>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币种:人民币</w:t>
            </w:r>
          </w:p>
        </w:tc>
      </w:tr>
      <w:tr>
        <w:tblPrEx>
          <w:tblCellMar>
            <w:top w:w="0" w:type="dxa"/>
            <w:left w:w="108" w:type="dxa"/>
            <w:bottom w:w="0" w:type="dxa"/>
            <w:right w:w="108" w:type="dxa"/>
          </w:tblCellMar>
        </w:tblPrEx>
        <w:trPr>
          <w:trHeight w:val="315" w:hRule="atLeast"/>
        </w:trPr>
        <w:tc>
          <w:tcPr>
            <w:tcW w:w="3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项目 </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附注 </w:t>
            </w: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2021年1-6月</w:t>
            </w:r>
          </w:p>
        </w:tc>
        <w:tc>
          <w:tcPr>
            <w:tcW w:w="1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2020年度 </w:t>
            </w:r>
          </w:p>
        </w:tc>
      </w:tr>
      <w:tr>
        <w:tblPrEx>
          <w:tblCellMar>
            <w:top w:w="0" w:type="dxa"/>
            <w:left w:w="108" w:type="dxa"/>
            <w:bottom w:w="0" w:type="dxa"/>
            <w:right w:w="108" w:type="dxa"/>
          </w:tblCellMar>
        </w:tblPrEx>
        <w:trPr>
          <w:trHeight w:val="315" w:hRule="atLeast"/>
        </w:trPr>
        <w:tc>
          <w:tcPr>
            <w:tcW w:w="3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一、营业收入 </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五、（六） </w:t>
            </w: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21,036,406.93 </w:t>
            </w:r>
          </w:p>
        </w:tc>
        <w:tc>
          <w:tcPr>
            <w:tcW w:w="1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27,432,577.41 </w:t>
            </w:r>
          </w:p>
        </w:tc>
      </w:tr>
      <w:tr>
        <w:tblPrEx>
          <w:tblCellMar>
            <w:top w:w="0" w:type="dxa"/>
            <w:left w:w="108" w:type="dxa"/>
            <w:bottom w:w="0" w:type="dxa"/>
            <w:right w:w="108" w:type="dxa"/>
          </w:tblCellMar>
        </w:tblPrEx>
        <w:trPr>
          <w:trHeight w:val="315" w:hRule="atLeast"/>
        </w:trPr>
        <w:tc>
          <w:tcPr>
            <w:tcW w:w="3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减：营业成本 </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五、（六） </w:t>
            </w: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20,477,683.24 </w:t>
            </w:r>
          </w:p>
        </w:tc>
        <w:tc>
          <w:tcPr>
            <w:tcW w:w="1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26,370,910.72 </w:t>
            </w:r>
          </w:p>
        </w:tc>
      </w:tr>
      <w:tr>
        <w:tblPrEx>
          <w:tblCellMar>
            <w:top w:w="0" w:type="dxa"/>
            <w:left w:w="108" w:type="dxa"/>
            <w:bottom w:w="0" w:type="dxa"/>
            <w:right w:w="108" w:type="dxa"/>
          </w:tblCellMar>
        </w:tblPrEx>
        <w:trPr>
          <w:trHeight w:val="315" w:hRule="atLeast"/>
        </w:trPr>
        <w:tc>
          <w:tcPr>
            <w:tcW w:w="3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税金及附加 </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五、（七） </w:t>
            </w: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23,274.94 </w:t>
            </w:r>
          </w:p>
        </w:tc>
        <w:tc>
          <w:tcPr>
            <w:tcW w:w="1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2,055.31 </w:t>
            </w:r>
          </w:p>
        </w:tc>
      </w:tr>
      <w:tr>
        <w:tblPrEx>
          <w:tblCellMar>
            <w:top w:w="0" w:type="dxa"/>
            <w:left w:w="108" w:type="dxa"/>
            <w:bottom w:w="0" w:type="dxa"/>
            <w:right w:w="108" w:type="dxa"/>
          </w:tblCellMar>
        </w:tblPrEx>
        <w:trPr>
          <w:trHeight w:val="315" w:hRule="atLeast"/>
        </w:trPr>
        <w:tc>
          <w:tcPr>
            <w:tcW w:w="3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销售费用 </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五、（八） </w:t>
            </w: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245,332.00 </w:t>
            </w:r>
          </w:p>
        </w:tc>
        <w:tc>
          <w:tcPr>
            <w:tcW w:w="1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506,608.32 </w:t>
            </w:r>
          </w:p>
        </w:tc>
      </w:tr>
      <w:tr>
        <w:tblPrEx>
          <w:tblCellMar>
            <w:top w:w="0" w:type="dxa"/>
            <w:left w:w="108" w:type="dxa"/>
            <w:bottom w:w="0" w:type="dxa"/>
            <w:right w:w="108" w:type="dxa"/>
          </w:tblCellMar>
        </w:tblPrEx>
        <w:trPr>
          <w:trHeight w:val="315" w:hRule="atLeast"/>
        </w:trPr>
        <w:tc>
          <w:tcPr>
            <w:tcW w:w="3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管理费用 </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五、（九） </w:t>
            </w: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172,941.48 </w:t>
            </w:r>
          </w:p>
        </w:tc>
        <w:tc>
          <w:tcPr>
            <w:tcW w:w="1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381,454.12 </w:t>
            </w:r>
          </w:p>
        </w:tc>
      </w:tr>
      <w:tr>
        <w:tblPrEx>
          <w:tblCellMar>
            <w:top w:w="0" w:type="dxa"/>
            <w:left w:w="108" w:type="dxa"/>
            <w:bottom w:w="0" w:type="dxa"/>
            <w:right w:w="108" w:type="dxa"/>
          </w:tblCellMar>
        </w:tblPrEx>
        <w:trPr>
          <w:trHeight w:val="315" w:hRule="atLeast"/>
        </w:trPr>
        <w:tc>
          <w:tcPr>
            <w:tcW w:w="3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研发费用 </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3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财务费用 </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五、（十） </w:t>
            </w: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331.98 </w:t>
            </w:r>
          </w:p>
        </w:tc>
        <w:tc>
          <w:tcPr>
            <w:tcW w:w="1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667.50 </w:t>
            </w:r>
          </w:p>
        </w:tc>
      </w:tr>
      <w:tr>
        <w:tblPrEx>
          <w:tblCellMar>
            <w:top w:w="0" w:type="dxa"/>
            <w:left w:w="108" w:type="dxa"/>
            <w:bottom w:w="0" w:type="dxa"/>
            <w:right w:w="108" w:type="dxa"/>
          </w:tblCellMar>
        </w:tblPrEx>
        <w:trPr>
          <w:trHeight w:val="315" w:hRule="atLeast"/>
        </w:trPr>
        <w:tc>
          <w:tcPr>
            <w:tcW w:w="3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其中：利息费用 </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3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利息收入 </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3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加：其他收益 </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3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投资收益（损失以“－”号填列） </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3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其中：对联营企业和合营企业的投资收益 </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3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以摊余成本计量的金融资产终止确认收益 </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3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净敞口套期收益（损失以“－”号填列） </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3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公允价值变动收益（损失以“－”号填列） </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3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信用减值损失（损失以“－”号填列） </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3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资产减值损失（损失以“－”号填列） </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3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资产处置收益（损失以“－”号填列） </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3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二、营业利润（亏损以“－”号填列） </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116,843.29 </w:t>
            </w:r>
          </w:p>
        </w:tc>
        <w:tc>
          <w:tcPr>
            <w:tcW w:w="1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170,881.44 </w:t>
            </w:r>
          </w:p>
        </w:tc>
      </w:tr>
      <w:tr>
        <w:tblPrEx>
          <w:tblCellMar>
            <w:top w:w="0" w:type="dxa"/>
            <w:left w:w="108" w:type="dxa"/>
            <w:bottom w:w="0" w:type="dxa"/>
            <w:right w:w="108" w:type="dxa"/>
          </w:tblCellMar>
        </w:tblPrEx>
        <w:trPr>
          <w:trHeight w:val="315" w:hRule="atLeast"/>
        </w:trPr>
        <w:tc>
          <w:tcPr>
            <w:tcW w:w="3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加：营业外收入 </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3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减：营业外支出 </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3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三、利润总额（亏损总额以“－”号填列） </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116,843.29 </w:t>
            </w:r>
          </w:p>
        </w:tc>
        <w:tc>
          <w:tcPr>
            <w:tcW w:w="1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170,881.44 </w:t>
            </w:r>
          </w:p>
        </w:tc>
      </w:tr>
      <w:tr>
        <w:tblPrEx>
          <w:tblCellMar>
            <w:top w:w="0" w:type="dxa"/>
            <w:left w:w="108" w:type="dxa"/>
            <w:bottom w:w="0" w:type="dxa"/>
            <w:right w:w="108" w:type="dxa"/>
          </w:tblCellMar>
        </w:tblPrEx>
        <w:trPr>
          <w:trHeight w:val="315" w:hRule="atLeast"/>
        </w:trPr>
        <w:tc>
          <w:tcPr>
            <w:tcW w:w="3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减：所得税费用 </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五、（十一） </w:t>
            </w: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5,842.16 </w:t>
            </w:r>
          </w:p>
        </w:tc>
        <w:tc>
          <w:tcPr>
            <w:tcW w:w="1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8,544.07 </w:t>
            </w:r>
          </w:p>
        </w:tc>
      </w:tr>
      <w:tr>
        <w:tblPrEx>
          <w:tblCellMar>
            <w:top w:w="0" w:type="dxa"/>
            <w:left w:w="108" w:type="dxa"/>
            <w:bottom w:w="0" w:type="dxa"/>
            <w:right w:w="108" w:type="dxa"/>
          </w:tblCellMar>
        </w:tblPrEx>
        <w:trPr>
          <w:trHeight w:val="315" w:hRule="atLeast"/>
        </w:trPr>
        <w:tc>
          <w:tcPr>
            <w:tcW w:w="3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四、净利润（净亏损以“－”号填列） </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111,001.13 </w:t>
            </w:r>
          </w:p>
        </w:tc>
        <w:tc>
          <w:tcPr>
            <w:tcW w:w="1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162,337.37 </w:t>
            </w:r>
          </w:p>
        </w:tc>
      </w:tr>
      <w:tr>
        <w:tblPrEx>
          <w:tblCellMar>
            <w:top w:w="0" w:type="dxa"/>
            <w:left w:w="108" w:type="dxa"/>
            <w:bottom w:w="0" w:type="dxa"/>
            <w:right w:w="108" w:type="dxa"/>
          </w:tblCellMar>
        </w:tblPrEx>
        <w:trPr>
          <w:trHeight w:val="315" w:hRule="atLeast"/>
        </w:trPr>
        <w:tc>
          <w:tcPr>
            <w:tcW w:w="3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（一）持续经营净利润（净亏损以“－”号填列） </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111,001.13 </w:t>
            </w:r>
          </w:p>
        </w:tc>
        <w:tc>
          <w:tcPr>
            <w:tcW w:w="1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162,337.37 </w:t>
            </w:r>
          </w:p>
        </w:tc>
      </w:tr>
      <w:tr>
        <w:tblPrEx>
          <w:tblCellMar>
            <w:top w:w="0" w:type="dxa"/>
            <w:left w:w="108" w:type="dxa"/>
            <w:bottom w:w="0" w:type="dxa"/>
            <w:right w:w="108" w:type="dxa"/>
          </w:tblCellMar>
        </w:tblPrEx>
        <w:trPr>
          <w:trHeight w:val="315" w:hRule="atLeast"/>
        </w:trPr>
        <w:tc>
          <w:tcPr>
            <w:tcW w:w="3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（二）终止经营净利润（净亏损以“－”号填列） </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3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五、其他综合收益的税后净额 </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   </w:t>
            </w:r>
          </w:p>
        </w:tc>
        <w:tc>
          <w:tcPr>
            <w:tcW w:w="1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   </w:t>
            </w:r>
          </w:p>
        </w:tc>
      </w:tr>
      <w:tr>
        <w:tblPrEx>
          <w:tblCellMar>
            <w:top w:w="0" w:type="dxa"/>
            <w:left w:w="108" w:type="dxa"/>
            <w:bottom w:w="0" w:type="dxa"/>
            <w:right w:w="108" w:type="dxa"/>
          </w:tblCellMar>
        </w:tblPrEx>
        <w:trPr>
          <w:trHeight w:val="315" w:hRule="atLeast"/>
        </w:trPr>
        <w:tc>
          <w:tcPr>
            <w:tcW w:w="3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（一）不能重分类进损益的其他综合收益 </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   </w:t>
            </w:r>
          </w:p>
        </w:tc>
        <w:tc>
          <w:tcPr>
            <w:tcW w:w="1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   </w:t>
            </w:r>
          </w:p>
        </w:tc>
      </w:tr>
      <w:tr>
        <w:tblPrEx>
          <w:tblCellMar>
            <w:top w:w="0" w:type="dxa"/>
            <w:left w:w="108" w:type="dxa"/>
            <w:bottom w:w="0" w:type="dxa"/>
            <w:right w:w="108" w:type="dxa"/>
          </w:tblCellMar>
        </w:tblPrEx>
        <w:trPr>
          <w:trHeight w:val="315" w:hRule="atLeast"/>
        </w:trPr>
        <w:tc>
          <w:tcPr>
            <w:tcW w:w="3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1.重新计量设定受益计划变动额 </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3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2.权益法下不能转损益的其他综合收益 </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3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3.其他权益工具投资公允价值变动 </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3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4.企业自身信用风险公允价值变动 </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3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（二）将重分类进损益的其他综合收益 </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   </w:t>
            </w:r>
          </w:p>
        </w:tc>
        <w:tc>
          <w:tcPr>
            <w:tcW w:w="1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   </w:t>
            </w:r>
          </w:p>
        </w:tc>
      </w:tr>
      <w:tr>
        <w:tblPrEx>
          <w:tblCellMar>
            <w:top w:w="0" w:type="dxa"/>
            <w:left w:w="108" w:type="dxa"/>
            <w:bottom w:w="0" w:type="dxa"/>
            <w:right w:w="108" w:type="dxa"/>
          </w:tblCellMar>
        </w:tblPrEx>
        <w:trPr>
          <w:trHeight w:val="315" w:hRule="atLeast"/>
        </w:trPr>
        <w:tc>
          <w:tcPr>
            <w:tcW w:w="3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1.权益法下可转损益的其他综合收益 </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b/>
                <w:bCs/>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3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2.其他债权投资公允价值变动 </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3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3.可供出售金融资产公允价值变动损益 </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Narrow" w:hAnsi="Arial Narrow" w:eastAsia="Arial Narrow" w:cs="Arial Narrow"/>
                <w:i w:val="0"/>
                <w:iCs w:val="0"/>
                <w:color w:val="000000"/>
                <w:sz w:val="18"/>
                <w:szCs w:val="18"/>
                <w:u w:val="none"/>
              </w:rPr>
            </w:pPr>
          </w:p>
        </w:tc>
        <w:tc>
          <w:tcPr>
            <w:tcW w:w="1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b/>
                <w:bCs/>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3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4.金融资产重分类计入其他综合收益的金额 </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Narrow" w:hAnsi="Arial Narrow" w:eastAsia="Arial Narrow" w:cs="Arial Narrow"/>
                <w:i w:val="0"/>
                <w:iCs w:val="0"/>
                <w:color w:val="000000"/>
                <w:sz w:val="18"/>
                <w:szCs w:val="18"/>
                <w:u w:val="none"/>
              </w:rPr>
            </w:pPr>
          </w:p>
        </w:tc>
        <w:tc>
          <w:tcPr>
            <w:tcW w:w="1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3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5.持有至到期投资重分类为可供出售金融资产损益 </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Narrow" w:hAnsi="Arial Narrow" w:eastAsia="Arial Narrow" w:cs="Arial Narrow"/>
                <w:i w:val="0"/>
                <w:iCs w:val="0"/>
                <w:color w:val="000000"/>
                <w:sz w:val="18"/>
                <w:szCs w:val="18"/>
                <w:u w:val="none"/>
              </w:rPr>
            </w:pPr>
          </w:p>
        </w:tc>
        <w:tc>
          <w:tcPr>
            <w:tcW w:w="1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b/>
                <w:bCs/>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3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6.其他债权投资信用减值准备 </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3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7.现金流量套期储备（现金流量套期损益的有效部分） </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3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8.外币财务报表折算差额 </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3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9.其他 </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1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15" w:hRule="atLeast"/>
        </w:trPr>
        <w:tc>
          <w:tcPr>
            <w:tcW w:w="3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六、综合收益总额  </w:t>
            </w:r>
          </w:p>
        </w:tc>
        <w:tc>
          <w:tcPr>
            <w:tcW w:w="1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bCs/>
                <w:i w:val="0"/>
                <w:iCs w:val="0"/>
                <w:color w:val="000000"/>
                <w:sz w:val="18"/>
                <w:szCs w:val="18"/>
                <w:u w:val="none"/>
              </w:rPr>
            </w:pP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111,001.13 </w:t>
            </w:r>
          </w:p>
        </w:tc>
        <w:tc>
          <w:tcPr>
            <w:tcW w:w="1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162,337.37 </w:t>
            </w:r>
          </w:p>
        </w:tc>
      </w:tr>
    </w:tbl>
    <w:p>
      <w:pPr>
        <w:rPr>
          <w:rFonts w:ascii="宋体" w:hAnsi="宋体"/>
        </w:rPr>
      </w:pPr>
    </w:p>
    <w:bookmarkEnd w:id="35"/>
    <w:p>
      <w:pPr>
        <w:numPr>
          <w:ilvl w:val="0"/>
          <w:numId w:val="2"/>
        </w:numPr>
        <w:ind w:firstLine="480"/>
        <w:rPr>
          <w:rFonts w:ascii="宋体" w:hAnsi="宋体"/>
        </w:rPr>
      </w:pPr>
      <w:bookmarkStart w:id="36" w:name="_Toc248204897"/>
      <w:r>
        <w:rPr>
          <w:rFonts w:hint="eastAsia" w:ascii="宋体" w:hAnsi="宋体"/>
        </w:rPr>
        <w:t>现金流量表</w:t>
      </w:r>
      <w:bookmarkEnd w:id="36"/>
    </w:p>
    <w:tbl>
      <w:tblPr>
        <w:tblStyle w:val="12"/>
        <w:tblW w:w="6412" w:type="dxa"/>
        <w:tblInd w:w="99" w:type="dxa"/>
        <w:shd w:val="clear" w:color="auto" w:fill="auto"/>
        <w:tblLayout w:type="autofit"/>
        <w:tblCellMar>
          <w:top w:w="0" w:type="dxa"/>
          <w:left w:w="108" w:type="dxa"/>
          <w:bottom w:w="0" w:type="dxa"/>
          <w:right w:w="108" w:type="dxa"/>
        </w:tblCellMar>
      </w:tblPr>
      <w:tblGrid>
        <w:gridCol w:w="3906"/>
        <w:gridCol w:w="1386"/>
        <w:gridCol w:w="1458"/>
        <w:gridCol w:w="1458"/>
      </w:tblGrid>
      <w:tr>
        <w:tblPrEx>
          <w:tblCellMar>
            <w:top w:w="0" w:type="dxa"/>
            <w:left w:w="108" w:type="dxa"/>
            <w:bottom w:w="0" w:type="dxa"/>
            <w:right w:w="108" w:type="dxa"/>
          </w:tblCellMar>
        </w:tblPrEx>
        <w:trPr>
          <w:trHeight w:val="510" w:hRule="atLeast"/>
        </w:trPr>
        <w:tc>
          <w:tcPr>
            <w:tcW w:w="6419" w:type="dxa"/>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现金流量表</w:t>
            </w:r>
          </w:p>
        </w:tc>
      </w:tr>
      <w:tr>
        <w:tblPrEx>
          <w:tblCellMar>
            <w:top w:w="0" w:type="dxa"/>
            <w:left w:w="108" w:type="dxa"/>
            <w:bottom w:w="0" w:type="dxa"/>
            <w:right w:w="108" w:type="dxa"/>
          </w:tblCellMar>
        </w:tblPrEx>
        <w:trPr>
          <w:trHeight w:val="315" w:hRule="atLeast"/>
        </w:trPr>
        <w:tc>
          <w:tcPr>
            <w:tcW w:w="0" w:type="auto"/>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2021年1-6月</w:t>
            </w:r>
          </w:p>
        </w:tc>
      </w:tr>
      <w:tr>
        <w:tblPrEx>
          <w:tblCellMar>
            <w:top w:w="0" w:type="dxa"/>
            <w:left w:w="108" w:type="dxa"/>
            <w:bottom w:w="0" w:type="dxa"/>
            <w:right w:w="108" w:type="dxa"/>
          </w:tblCellMar>
        </w:tblPrEx>
        <w:trPr>
          <w:trHeight w:val="270" w:hRule="atLeast"/>
        </w:trPr>
        <w:tc>
          <w:tcPr>
            <w:tcW w:w="0" w:type="auto"/>
            <w:tcBorders>
              <w:top w:val="nil"/>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编制单位：淄博德昶泰经贸有限公司</w:t>
            </w:r>
          </w:p>
        </w:tc>
        <w:tc>
          <w:tcPr>
            <w:tcW w:w="0" w:type="auto"/>
            <w:tcBorders>
              <w:top w:val="nil"/>
              <w:left w:val="nil"/>
              <w:bottom w:val="single" w:color="000000"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单位:元  </w:t>
            </w:r>
          </w:p>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币种:人民币</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项目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附注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2021年1-6月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2020年度 </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一、经营活动产生的现金流量：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Arial Narrow" w:hAnsi="Arial Narrow" w:eastAsia="Arial Narrow" w:cs="Arial Narrow"/>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b/>
                <w:bCs/>
                <w:i w:val="0"/>
                <w:iCs w:val="0"/>
                <w:color w:val="000000"/>
                <w:sz w:val="18"/>
                <w:szCs w:val="18"/>
                <w:u w:val="none"/>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销售商品、提供劳务收到的现金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23,534,706.56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33,758,946.15 </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收到的税费返还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收到其他与经营活动有关的现金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762,121.38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1,063,878.94 </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经营活动现金流入小计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24,296,827.94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34,822,825.09 </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购买商品、接受劳务支付的现金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23,232,452.70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32,784,707.57 </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支付给职工以及为职工支付的现金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300,490.20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661,015.20 </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支付的各项税费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860,188.92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1,131,827.53 </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支付其他与经营活动有关的现金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53,999.08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91,421.59 </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经营活动现金流出小计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24,447,130.90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34,668,971.89 </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经营活动产生的现金流量净额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-150,302.96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153,853.20 </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二、投资活动产生的现金流量：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b/>
                <w:bCs/>
                <w:i w:val="0"/>
                <w:iCs w:val="0"/>
                <w:color w:val="000000"/>
                <w:sz w:val="18"/>
                <w:szCs w:val="18"/>
                <w:u w:val="none"/>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收回投资收到的现金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取得投资收益收到的现金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00" w:hRule="atLeast"/>
        </w:trPr>
        <w:tc>
          <w:tcPr>
            <w:tcW w:w="2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处置固定资产、无形资产和其他长期资产收回的现金净额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处置子公司及其他营业单位收到的现金净额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收到其他与投资活动有关的现金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投资活动现金流入小计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   </w:t>
            </w:r>
          </w:p>
        </w:tc>
      </w:tr>
      <w:tr>
        <w:tblPrEx>
          <w:tblCellMar>
            <w:top w:w="0" w:type="dxa"/>
            <w:left w:w="108" w:type="dxa"/>
            <w:bottom w:w="0" w:type="dxa"/>
            <w:right w:w="108" w:type="dxa"/>
          </w:tblCellMar>
        </w:tblPrEx>
        <w:trPr>
          <w:trHeight w:val="300" w:hRule="atLeast"/>
        </w:trPr>
        <w:tc>
          <w:tcPr>
            <w:tcW w:w="2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购建固定资产、无形资产和其他长期资产支付的现金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投资支付的现金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取得子公司及其他营业单位支付的现金净额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支付其他与投资活动有关的现金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投资活动现金流出小计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   </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投资活动产生的现金流量净额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   </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三、筹资活动产生的现金流量：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b/>
                <w:bCs/>
                <w:i w:val="0"/>
                <w:iCs w:val="0"/>
                <w:color w:val="000000"/>
                <w:sz w:val="18"/>
                <w:szCs w:val="18"/>
                <w:u w:val="none"/>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吸收投资收到的现金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取得借款收到的现金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收到其他与筹资活动有关的现金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筹资活动现金流入小计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   </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偿还债务支付的现金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分配股利、利润或偿付利息支付的现金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支付其他与筹资活动有关的现金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i w:val="0"/>
                <w:iCs w:val="0"/>
                <w:color w:val="000000"/>
                <w:sz w:val="18"/>
                <w:szCs w:val="18"/>
                <w:u w:val="none"/>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筹资活动现金流出小计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   </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筹资活动产生的现金流量净额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   </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四、汇率变动对现金及现金等价物的影响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Narrow" w:hAnsi="Arial Narrow" w:eastAsia="Arial Narrow" w:cs="Arial Narrow"/>
                <w:b/>
                <w:bCs/>
                <w:i w:val="0"/>
                <w:iCs w:val="0"/>
                <w:color w:val="000000"/>
                <w:sz w:val="18"/>
                <w:szCs w:val="18"/>
                <w:u w:val="none"/>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五、现金及现金等价物净增加额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五、（十三）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-150,302.96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153,853.20 </w:t>
            </w:r>
          </w:p>
        </w:tc>
      </w:tr>
      <w:tr>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加：期初现金及现金等价物余额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五、（十三）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221,782.00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i w:val="0"/>
                <w:iCs w:val="0"/>
                <w:color w:val="000000"/>
                <w:sz w:val="18"/>
                <w:szCs w:val="18"/>
                <w:u w:val="none"/>
              </w:rPr>
            </w:pPr>
            <w:r>
              <w:rPr>
                <w:rFonts w:hint="default" w:ascii="Arial Narrow" w:hAnsi="Arial Narrow" w:eastAsia="Arial Narrow" w:cs="Arial Narrow"/>
                <w:i w:val="0"/>
                <w:iCs w:val="0"/>
                <w:color w:val="000000"/>
                <w:kern w:val="0"/>
                <w:sz w:val="18"/>
                <w:szCs w:val="18"/>
                <w:u w:val="none"/>
                <w:lang w:val="en-US" w:eastAsia="zh-CN" w:bidi="ar"/>
              </w:rPr>
              <w:t xml:space="preserve"> 67,928.80 </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六、期末现金及现金等价物余额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五、（十三）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71,479.04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Narrow" w:hAnsi="Arial Narrow" w:eastAsia="Arial Narrow" w:cs="Arial Narrow"/>
                <w:b/>
                <w:bCs/>
                <w:i w:val="0"/>
                <w:iCs w:val="0"/>
                <w:color w:val="000000"/>
                <w:sz w:val="18"/>
                <w:szCs w:val="18"/>
                <w:u w:val="none"/>
              </w:rPr>
            </w:pPr>
            <w:r>
              <w:rPr>
                <w:rFonts w:hint="default" w:ascii="Arial Narrow" w:hAnsi="Arial Narrow" w:eastAsia="Arial Narrow" w:cs="Arial Narrow"/>
                <w:b/>
                <w:bCs/>
                <w:i w:val="0"/>
                <w:iCs w:val="0"/>
                <w:color w:val="000000"/>
                <w:kern w:val="0"/>
                <w:sz w:val="18"/>
                <w:szCs w:val="18"/>
                <w:u w:val="none"/>
                <w:lang w:val="en-US" w:eastAsia="zh-CN" w:bidi="ar"/>
              </w:rPr>
              <w:t xml:space="preserve"> 221,782.00 </w:t>
            </w:r>
          </w:p>
        </w:tc>
      </w:tr>
    </w:tbl>
    <w:p>
      <w:pPr>
        <w:ind w:firstLine="480" w:firstLineChars="200"/>
        <w:rPr>
          <w:rFonts w:hint="eastAsia"/>
        </w:rPr>
      </w:pPr>
      <w:r>
        <w:rPr>
          <w:rFonts w:hint="eastAsia" w:ascii="宋体" w:hAnsi="宋体"/>
        </w:rPr>
        <w:t>公司</w:t>
      </w:r>
      <w:r>
        <w:rPr>
          <w:rFonts w:ascii="宋体" w:hAnsi="宋体"/>
        </w:rPr>
        <w:t>报告期财务会计信息</w:t>
      </w:r>
      <w:r>
        <w:rPr>
          <w:rFonts w:hint="eastAsia" w:ascii="宋体" w:hAnsi="宋体"/>
        </w:rPr>
        <w:t>无虚假记载</w:t>
      </w:r>
      <w:r>
        <w:rPr>
          <w:rFonts w:ascii="宋体" w:hAnsi="宋体"/>
        </w:rPr>
        <w:t>。</w:t>
      </w:r>
    </w:p>
    <w:p>
      <w:pPr>
        <w:pStyle w:val="3"/>
        <w:ind w:left="480"/>
      </w:pPr>
      <w:bookmarkStart w:id="37" w:name="_Toc9928"/>
      <w:r>
        <w:rPr>
          <w:rFonts w:hint="eastAsia"/>
        </w:rPr>
        <w:t>六、公司经营目标及计划</w:t>
      </w:r>
      <w:bookmarkEnd w:id="37"/>
    </w:p>
    <w:p>
      <w:pPr>
        <w:ind w:firstLine="480" w:firstLineChars="200"/>
        <w:rPr>
          <w:rFonts w:hint="eastAsia"/>
        </w:rPr>
      </w:pPr>
      <w:bookmarkStart w:id="38" w:name="_Toc347755025"/>
      <w:bookmarkStart w:id="39" w:name="_Toc342567520"/>
      <w:bookmarkStart w:id="40" w:name="_Toc346092744"/>
      <w:bookmarkStart w:id="41" w:name="_Toc346286158"/>
      <w:bookmarkStart w:id="42" w:name="_Toc317756608"/>
      <w:bookmarkStart w:id="43" w:name="_Toc347823210"/>
      <w:bookmarkStart w:id="44" w:name="_Hlk31887440"/>
      <w:r>
        <w:rPr>
          <w:rFonts w:hint="eastAsia"/>
        </w:rPr>
        <w:t>（一）经营目标</w:t>
      </w:r>
    </w:p>
    <w:p>
      <w:pPr>
        <w:ind w:firstLine="480" w:firstLineChars="200"/>
        <w:rPr>
          <w:rFonts w:hint="eastAsia"/>
        </w:rPr>
      </w:pPr>
      <w:r>
        <w:rPr>
          <w:rFonts w:hint="eastAsia" w:ascii="宋体" w:hAnsi="宋体"/>
        </w:rPr>
        <w:t>公司坚持</w:t>
      </w:r>
      <w:r>
        <w:rPr>
          <w:rFonts w:hint="eastAsia" w:ascii="宋体" w:hAnsi="宋体"/>
          <w:lang w:val="en-US" w:eastAsia="zh-CN"/>
        </w:rPr>
        <w:t>基础化工产品</w:t>
      </w:r>
      <w:r>
        <w:rPr>
          <w:rFonts w:hint="eastAsia" w:ascii="宋体" w:hAnsi="宋体"/>
        </w:rPr>
        <w:t>的产品定位，公司将继续发扬“诚信、进步、团结、拼搏”的企业精神，秉承“以信为本，以诚待人，以稳求实，优质服务”的经营理念，维持与各界朋友及客户的精诚合作，不断加强技术精进，</w:t>
      </w:r>
      <w:r>
        <w:rPr>
          <w:rFonts w:hint="eastAsia" w:ascii="宋体" w:hAnsi="宋体"/>
          <w:lang w:val="en-US" w:eastAsia="zh-CN"/>
        </w:rPr>
        <w:t>争取</w:t>
      </w:r>
      <w:r>
        <w:rPr>
          <w:rFonts w:hint="eastAsia" w:ascii="宋体" w:hAnsi="宋体"/>
        </w:rPr>
        <w:t>打开全国市场</w:t>
      </w:r>
      <w:r>
        <w:rPr>
          <w:rFonts w:hint="eastAsia"/>
        </w:rPr>
        <w:t>。</w:t>
      </w:r>
    </w:p>
    <w:p>
      <w:pPr>
        <w:ind w:firstLine="480" w:firstLineChars="200"/>
        <w:rPr>
          <w:rFonts w:hint="eastAsia"/>
        </w:rPr>
      </w:pPr>
      <w:r>
        <w:rPr>
          <w:rFonts w:hint="eastAsia"/>
        </w:rPr>
        <w:t>（二）具体发展业务计划</w:t>
      </w:r>
    </w:p>
    <w:p>
      <w:pPr>
        <w:pStyle w:val="6"/>
        <w:bidi w:val="0"/>
        <w:rPr>
          <w:rFonts w:hint="eastAsia"/>
        </w:rPr>
      </w:pPr>
      <w:bookmarkStart w:id="45" w:name="_Toc2323"/>
      <w:r>
        <w:rPr>
          <w:rFonts w:hint="eastAsia"/>
        </w:rPr>
        <w:t>1、</w:t>
      </w:r>
      <w:r>
        <w:rPr>
          <w:rFonts w:hint="eastAsia"/>
          <w:lang w:val="en-US" w:eastAsia="zh-CN"/>
        </w:rPr>
        <w:t>开拓市场渠道，稳固客户资源</w:t>
      </w:r>
      <w:r>
        <w:rPr>
          <w:rFonts w:hint="eastAsia"/>
        </w:rPr>
        <w:t xml:space="preserve"> </w:t>
      </w:r>
    </w:p>
    <w:p>
      <w:pPr>
        <w:ind w:firstLine="480" w:firstLineChars="200"/>
      </w:pPr>
      <w:r>
        <w:rPr>
          <w:rFonts w:hint="eastAsia"/>
        </w:rPr>
        <w:t>市场和客户开发是实现公司发展目标的首要工作，主要从以下几个方面进行：</w:t>
      </w:r>
      <w:r>
        <w:rPr>
          <w:rFonts w:hint="eastAsia"/>
          <w:lang w:val="en-US" w:eastAsia="zh-CN"/>
        </w:rPr>
        <w:t>一</w:t>
      </w:r>
      <w:r>
        <w:rPr>
          <w:rFonts w:hint="eastAsia"/>
        </w:rPr>
        <w:t>是市场开发及服务团队建设；</w:t>
      </w:r>
      <w:r>
        <w:rPr>
          <w:rFonts w:hint="eastAsia"/>
          <w:lang w:val="en-US" w:eastAsia="zh-CN"/>
        </w:rPr>
        <w:t>二</w:t>
      </w:r>
      <w:r>
        <w:rPr>
          <w:rFonts w:hint="eastAsia"/>
        </w:rPr>
        <w:t>是网络营销建设，将加强网络营销，通过“互联网+”和“大数据”思维塑造和优化商业模式，这种商业模式可以提高公司的竞争力和影响力，为公司将来进入的</w:t>
      </w:r>
      <w:r>
        <w:rPr>
          <w:rFonts w:hint="eastAsia"/>
          <w:lang w:val="en-US" w:eastAsia="zh-CN"/>
        </w:rPr>
        <w:t>更大的</w:t>
      </w:r>
      <w:r>
        <w:rPr>
          <w:rFonts w:hint="eastAsia"/>
        </w:rPr>
        <w:t>市场创造机会和平台</w:t>
      </w:r>
      <w:r>
        <w:t xml:space="preserve">。 </w:t>
      </w:r>
    </w:p>
    <w:p>
      <w:pPr>
        <w:pStyle w:val="6"/>
        <w:bidi w:val="0"/>
        <w:rPr>
          <w:rFonts w:hint="eastAsia"/>
        </w:rPr>
      </w:pPr>
      <w:r>
        <w:rPr>
          <w:rFonts w:hint="eastAsia"/>
        </w:rPr>
        <w:t>2、推行合同成本跟踪制</w:t>
      </w:r>
    </w:p>
    <w:p>
      <w:pPr>
        <w:ind w:firstLine="480" w:firstLineChars="200"/>
      </w:pPr>
      <w:r>
        <w:t>坚持将提高企业经济运行质量作为加强管理的立足点和归宿点。开展调查研究，总结经验教训，对直接影响经济效益或涉及全局的管理难题，组织力量重点进行破解。加强经济合同管理调整并明确职责，形成从授权、签约、履行、变更、结算、付款到纠纷处置完整的合同管理办法。</w:t>
      </w:r>
    </w:p>
    <w:p>
      <w:pPr>
        <w:pStyle w:val="6"/>
        <w:bidi w:val="0"/>
        <w:rPr>
          <w:rFonts w:hint="eastAsia"/>
          <w:lang w:val="en-US" w:eastAsia="zh-CN"/>
        </w:rPr>
      </w:pPr>
      <w:r>
        <w:rPr>
          <w:rFonts w:hint="eastAsia"/>
          <w:lang w:val="en-US" w:eastAsia="zh-CN"/>
        </w:rPr>
        <w:t>3、优化人才结构</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培养和引进了各类管理人才和专业技术人才，涵盖多个专业，建立了一支由素质能力强的高层管理人员、执行力强的中层管理人员、创新能力强的设计人员、技术精和业务专的项目管理和工程技术人员组成的稳定团队。</w:t>
      </w:r>
    </w:p>
    <w:p>
      <w:pPr>
        <w:pStyle w:val="6"/>
        <w:bidi w:val="0"/>
        <w:rPr>
          <w:rFonts w:hint="eastAsia"/>
          <w:lang w:val="en-US" w:eastAsia="zh-CN"/>
        </w:rPr>
      </w:pPr>
      <w:r>
        <w:rPr>
          <w:rFonts w:hint="eastAsia"/>
          <w:lang w:val="en-US" w:eastAsia="zh-CN"/>
        </w:rPr>
        <w:t>4、改变营销理念</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实施大客户战略，对客户质量和销售潜力进行有效评估，集中优势资源帮助客户优化战略、优化战术、提升客户的经营水平和运营效率，</w:t>
      </w:r>
      <w:r>
        <w:rPr>
          <w:rFonts w:hint="eastAsia"/>
          <w:color w:val="000000" w:themeColor="text1"/>
          <w:lang w:val="en-US" w:eastAsia="zh-CN"/>
          <w14:textFill>
            <w14:solidFill>
              <w14:schemeClr w14:val="tx1"/>
            </w14:solidFill>
          </w14:textFill>
        </w:rPr>
        <w:t>与客户建立长期、良好的合作关系。</w:t>
      </w:r>
    </w:p>
    <w:p>
      <w:pPr>
        <w:ind w:firstLine="480" w:firstLineChars="200"/>
      </w:pPr>
      <w:r>
        <w:rPr>
          <w:rFonts w:hint="eastAsia"/>
        </w:rPr>
        <w:t>（三）公司为实现未来发展目标将采取的措施</w:t>
      </w:r>
      <w:bookmarkEnd w:id="38"/>
      <w:bookmarkEnd w:id="39"/>
      <w:bookmarkEnd w:id="40"/>
      <w:bookmarkEnd w:id="41"/>
      <w:bookmarkEnd w:id="42"/>
      <w:bookmarkEnd w:id="43"/>
      <w:bookmarkEnd w:id="45"/>
    </w:p>
    <w:p>
      <w:pPr>
        <w:pStyle w:val="6"/>
        <w:bidi w:val="0"/>
        <w:rPr>
          <w:rFonts w:hint="eastAsia"/>
          <w:lang w:val="en-US" w:eastAsia="zh-CN"/>
        </w:rPr>
      </w:pPr>
      <w:r>
        <w:rPr>
          <w:rFonts w:hint="eastAsia"/>
          <w:lang w:val="en-US" w:eastAsia="zh-CN"/>
        </w:rPr>
        <w:t>1、业务模式方面</w:t>
      </w:r>
    </w:p>
    <w:p>
      <w:pPr>
        <w:ind w:firstLine="480" w:firstLineChars="200"/>
      </w:pPr>
      <w:r>
        <w:rPr>
          <w:rFonts w:hint="eastAsia"/>
        </w:rPr>
        <w:t>随着社会经济的发展和市场的逐渐成熟，企业对</w:t>
      </w:r>
      <w:r>
        <w:rPr>
          <w:rFonts w:hint="eastAsia"/>
          <w:lang w:val="en-US" w:eastAsia="zh-CN"/>
        </w:rPr>
        <w:t>项目的承接</w:t>
      </w:r>
      <w:r>
        <w:rPr>
          <w:rFonts w:hint="eastAsia"/>
        </w:rPr>
        <w:t>模式的选择已经转变为多元化的方式，企业越来越重视</w:t>
      </w:r>
      <w:r>
        <w:rPr>
          <w:rFonts w:hint="eastAsia"/>
          <w:lang w:val="en-US" w:eastAsia="zh-CN"/>
        </w:rPr>
        <w:t>承接</w:t>
      </w:r>
      <w:r>
        <w:rPr>
          <w:rFonts w:hint="eastAsia"/>
        </w:rPr>
        <w:t>模式的效率、成本与风险控制。通过以上对各种</w:t>
      </w:r>
      <w:r>
        <w:rPr>
          <w:rFonts w:hint="eastAsia"/>
          <w:lang w:val="en-US" w:eastAsia="zh-CN"/>
        </w:rPr>
        <w:t>承接</w:t>
      </w:r>
      <w:r>
        <w:rPr>
          <w:rFonts w:hint="eastAsia"/>
        </w:rPr>
        <w:t>模式的优劣分析和比较，不同的销售模式具有不同的特点和适用性，不同的</w:t>
      </w:r>
      <w:r>
        <w:rPr>
          <w:rFonts w:hint="eastAsia"/>
          <w:lang w:val="en-US" w:eastAsia="zh-CN"/>
        </w:rPr>
        <w:t>合作</w:t>
      </w:r>
      <w:r>
        <w:rPr>
          <w:rFonts w:hint="eastAsia"/>
        </w:rPr>
        <w:t>主体在不同的发展阶段针对不同市场情况，可以采取多种</w:t>
      </w:r>
      <w:r>
        <w:rPr>
          <w:rFonts w:hint="eastAsia"/>
          <w:lang w:val="en-US" w:eastAsia="zh-CN"/>
        </w:rPr>
        <w:t>承接</w:t>
      </w:r>
      <w:r>
        <w:rPr>
          <w:rFonts w:hint="eastAsia"/>
        </w:rPr>
        <w:t>模式并存的方式。但应注意各种模式的侧重点和所占比例是否合理，力争把风险降到最低。</w:t>
      </w:r>
    </w:p>
    <w:p>
      <w:pPr>
        <w:ind w:firstLine="480" w:firstLineChars="200"/>
      </w:pPr>
      <w:r>
        <w:rPr>
          <w:rFonts w:hint="eastAsia"/>
        </w:rPr>
        <w:t>未来公司会继续强化“</w:t>
      </w:r>
      <w:r>
        <w:rPr>
          <w:rFonts w:hint="eastAsia"/>
          <w:lang w:val="en-US" w:eastAsia="zh-CN"/>
        </w:rPr>
        <w:t>德昶泰</w:t>
      </w:r>
      <w:r>
        <w:rPr>
          <w:rFonts w:hint="eastAsia"/>
        </w:rPr>
        <w:t>”的品牌效应，以自身品牌影响力拉动公司的业务发展。采取服务跟进、售后回访、品牌宣传等措施来加大公司在</w:t>
      </w:r>
      <w:r>
        <w:rPr>
          <w:rFonts w:hint="eastAsia"/>
          <w:lang w:val="en-US" w:eastAsia="zh-CN"/>
        </w:rPr>
        <w:t>淄博</w:t>
      </w:r>
      <w:r>
        <w:rPr>
          <w:rFonts w:hint="eastAsia"/>
        </w:rPr>
        <w:t>地区的品牌影响力，同时以自身品牌维系客户，增强客户对于公司品牌的认可度，从而拉动公司业务发展。</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lang w:val="en-US" w:eastAsia="zh-CN"/>
        </w:rPr>
      </w:pPr>
      <w:r>
        <w:rPr>
          <w:rFonts w:hint="eastAsia"/>
          <w:lang w:val="en-US" w:eastAsia="zh-CN"/>
        </w:rPr>
        <w:t>2、完善组织结构及规范管理</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lang w:val="en-US" w:eastAsia="zh-CN"/>
        </w:rPr>
      </w:pPr>
      <w:r>
        <w:rPr>
          <w:rFonts w:hint="eastAsia"/>
          <w:lang w:val="en-US" w:eastAsia="zh-CN"/>
        </w:rPr>
        <w:t>公司将充分利用本次挂牌的契机，按照上市公司规范运作的要求，以加强组织结构建设为重点，进一步完善实控人治理结构。</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lang w:val="en-US" w:eastAsia="zh-CN"/>
        </w:rPr>
      </w:pPr>
      <w:r>
        <w:rPr>
          <w:rFonts w:hint="eastAsia"/>
          <w:lang w:val="en-US" w:eastAsia="zh-CN"/>
        </w:rPr>
        <w:t>未来公司将进一步完善内部管理制度，强化各项制度的执行工作，并通过激励约束机制增强员工归属感，调动员工积极性，利用人力资源优势，努力形成开放向上的企业文化，促进公司规范运作和稳健发展。</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lang w:val="en-US" w:eastAsia="zh-CN"/>
        </w:rPr>
      </w:pPr>
      <w:r>
        <w:rPr>
          <w:rFonts w:hint="eastAsia"/>
          <w:lang w:val="en-US" w:eastAsia="zh-CN"/>
        </w:rPr>
        <w:t>3、人才培养方面</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lang w:val="en-US" w:eastAsia="zh-CN"/>
        </w:rPr>
      </w:pPr>
      <w:r>
        <w:rPr>
          <w:rFonts w:hint="eastAsia"/>
          <w:lang w:val="en-US" w:eastAsia="zh-CN"/>
        </w:rPr>
        <w:t xml:space="preserve">随着公司生产经营规模持续扩大，公司对专业技术人才的需求日益强烈，特别是团队建设更需要具有全局性、战略性。未来，公司将扩大招聘力度，积极招揽优秀的技术和管理人才，不断提高员工薪酬水平，加大员工激励，提供更多的专业技能培训，夯实员工队伍，提高凝聚力，提高员工整体素质和专业能力，加强老技术人员的知识更新和新的技术人员的专业培训，培养一批高水平和高素质的管理人才队伍。不拘一格、不拘形式，建立健全人才引进的培训制度，大力提高人才综合素质，形成老中青、产学研相结合的人才体制结构，实施人才带动技术发展战略，为企业和行业建设服务。   </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lang w:val="en-US" w:eastAsia="zh-CN"/>
        </w:rPr>
      </w:pPr>
      <w:r>
        <w:rPr>
          <w:rFonts w:hint="eastAsia"/>
          <w:lang w:val="en-US" w:eastAsia="zh-CN"/>
        </w:rPr>
        <w:t>4、文化建设</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lang w:val="en-US" w:eastAsia="zh-CN"/>
        </w:rPr>
      </w:pPr>
      <w:r>
        <w:rPr>
          <w:rFonts w:hint="eastAsia"/>
          <w:lang w:val="en-US" w:eastAsia="zh-CN"/>
        </w:rPr>
        <w:t>建立多元文化，强化和塑造不同发展阶段的新文化；打造以“客户、员工、高效、诚信”为准绳、以客户为核心、以业绩为导向的组织文化；倡导“员工关怀”活动，增强员工归属感。</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lang w:val="en-US" w:eastAsia="zh-CN"/>
        </w:rPr>
      </w:pPr>
      <w:r>
        <w:rPr>
          <w:rFonts w:hint="eastAsia"/>
          <w:lang w:val="en-US" w:eastAsia="zh-CN"/>
        </w:rPr>
        <w:t>5、加强融资</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lang w:val="en-US" w:eastAsia="zh-CN"/>
        </w:rPr>
      </w:pPr>
      <w:r>
        <w:rPr>
          <w:rFonts w:hint="eastAsia"/>
          <w:lang w:val="en-US" w:eastAsia="zh-CN"/>
        </w:rPr>
        <w:t xml:space="preserve">公司依照发展运营需要，将采取多元化的筹资方式，来满足不同时期的各项发展规划的资金需求，推动公司持续、快速、健康发展。 </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lang w:val="en-US" w:eastAsia="zh-CN"/>
        </w:rPr>
      </w:pPr>
      <w:r>
        <w:rPr>
          <w:rFonts w:hint="eastAsia"/>
          <w:lang w:val="en-US" w:eastAsia="zh-CN"/>
        </w:rPr>
        <w:t>（1）重点做好本次齐鲁股权交易中心挂牌工作，本次挂牌完成后，公司将视生产经营需要，积极利用资本市场的直接融资功能，借助“齐鲁股权交易中心”融资平台“小额、多次、快速、低成本”的特点，通过股权增发、私募债券的方式获取下一步发展所需的资金。</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lang w:val="en-US" w:eastAsia="zh-CN"/>
        </w:rPr>
      </w:pPr>
      <w:r>
        <w:rPr>
          <w:rFonts w:hint="eastAsia"/>
          <w:lang w:val="en-US" w:eastAsia="zh-CN"/>
        </w:rPr>
        <w:t>（2）公司将继续与各银行保持密切合作，利用银行贷款等间接融资方式满足企业经营发展需要。</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rPr>
      </w:pPr>
      <w:r>
        <w:rPr>
          <w:rFonts w:hint="eastAsia"/>
          <w:lang w:val="en-US" w:eastAsia="zh-CN"/>
        </w:rPr>
        <w:t>（3）制订和完善融资发展战略，将有计划、有步骤地引进包括战略投资机构和公司上下游企业在内的战略投资者，积极加快与资本市场接轨的步伐，为登陆主板市场打下坚实基础</w:t>
      </w:r>
      <w:r>
        <w:rPr>
          <w:rFonts w:hint="eastAsia"/>
        </w:rPr>
        <w:t>。</w:t>
      </w:r>
      <w:bookmarkEnd w:id="44"/>
    </w:p>
    <w:p>
      <w:pPr>
        <w:pStyle w:val="2"/>
        <w:jc w:val="center"/>
        <w:rPr>
          <w:rFonts w:ascii="仿宋" w:hAnsi="仿宋" w:eastAsia="仿宋" w:cs="仿宋"/>
          <w:szCs w:val="32"/>
        </w:rPr>
      </w:pPr>
      <w:bookmarkStart w:id="46" w:name="_Toc27803"/>
      <w:r>
        <w:rPr>
          <w:rFonts w:hint="eastAsia"/>
        </w:rPr>
        <w:t>第三章 本次挂牌的有关机构</w:t>
      </w:r>
      <w:bookmarkEnd w:id="46"/>
    </w:p>
    <w:p>
      <w:pPr>
        <w:ind w:firstLine="480"/>
        <w:outlineLvl w:val="1"/>
        <w:rPr>
          <w:rFonts w:ascii="宋体" w:hAnsi="宋体"/>
          <w:b/>
          <w:bCs/>
          <w:sz w:val="28"/>
          <w:szCs w:val="28"/>
        </w:rPr>
      </w:pPr>
      <w:bookmarkStart w:id="47" w:name="_Toc25568"/>
      <w:r>
        <w:rPr>
          <w:rFonts w:hint="eastAsia" w:ascii="宋体" w:hAnsi="宋体"/>
          <w:b/>
          <w:bCs/>
          <w:sz w:val="28"/>
          <w:szCs w:val="28"/>
        </w:rPr>
        <w:t>一、推荐机构</w:t>
      </w:r>
      <w:bookmarkEnd w:id="47"/>
    </w:p>
    <w:p>
      <w:pPr>
        <w:ind w:firstLine="480"/>
        <w:jc w:val="left"/>
        <w:rPr>
          <w:rFonts w:ascii="宋体" w:hAnsi="宋体"/>
        </w:rPr>
      </w:pPr>
      <w:r>
        <w:rPr>
          <w:rFonts w:hint="eastAsia" w:ascii="宋体" w:hAnsi="宋体"/>
        </w:rPr>
        <w:t>名    称： 烟台瀚永投资有限公司</w:t>
      </w:r>
    </w:p>
    <w:p>
      <w:pPr>
        <w:ind w:firstLine="480"/>
        <w:jc w:val="left"/>
        <w:rPr>
          <w:rFonts w:ascii="宋体" w:hAnsi="宋体"/>
        </w:rPr>
      </w:pPr>
      <w:r>
        <w:rPr>
          <w:rFonts w:hint="eastAsia" w:ascii="宋体" w:hAnsi="宋体"/>
        </w:rPr>
        <w:t>办公地址： 烟台市福山区永达街1021号福山政务中心10层1007室</w:t>
      </w:r>
    </w:p>
    <w:p>
      <w:pPr>
        <w:ind w:firstLine="480"/>
        <w:jc w:val="left"/>
        <w:rPr>
          <w:rFonts w:ascii="宋体" w:hAnsi="宋体"/>
        </w:rPr>
      </w:pPr>
      <w:r>
        <w:rPr>
          <w:rFonts w:hint="eastAsia" w:ascii="宋体" w:hAnsi="宋体"/>
        </w:rPr>
        <w:t xml:space="preserve">法定代表人（负责人）：杨永斌 </w:t>
      </w:r>
    </w:p>
    <w:p>
      <w:pPr>
        <w:ind w:firstLine="480"/>
        <w:jc w:val="left"/>
        <w:rPr>
          <w:rFonts w:hint="default" w:ascii="宋体" w:hAnsi="宋体" w:eastAsia="宋体"/>
          <w:lang w:val="en-US" w:eastAsia="zh-CN"/>
        </w:rPr>
      </w:pPr>
      <w:r>
        <w:rPr>
          <w:rFonts w:hint="eastAsia" w:ascii="宋体" w:hAnsi="宋体"/>
        </w:rPr>
        <w:t xml:space="preserve">推荐经办人： </w:t>
      </w:r>
      <w:r>
        <w:rPr>
          <w:rFonts w:hint="eastAsia" w:ascii="宋体" w:hAnsi="宋体"/>
          <w:lang w:val="en-US" w:eastAsia="zh-CN"/>
        </w:rPr>
        <w:t>于明亮</w:t>
      </w:r>
      <w:r>
        <w:rPr>
          <w:rFonts w:hint="eastAsia" w:ascii="宋体" w:hAnsi="宋体"/>
          <w:lang w:eastAsia="zh-CN"/>
        </w:rPr>
        <w:t>、</w:t>
      </w:r>
      <w:r>
        <w:rPr>
          <w:rFonts w:hint="eastAsia" w:ascii="宋体" w:hAnsi="宋体"/>
          <w:lang w:val="en-US" w:eastAsia="zh-CN"/>
        </w:rPr>
        <w:t>李姗姗</w:t>
      </w:r>
    </w:p>
    <w:p>
      <w:pPr>
        <w:ind w:firstLine="480"/>
        <w:jc w:val="left"/>
        <w:rPr>
          <w:rFonts w:ascii="宋体" w:hAnsi="宋体"/>
        </w:rPr>
      </w:pPr>
      <w:r>
        <w:rPr>
          <w:rFonts w:hint="eastAsia" w:ascii="宋体" w:hAnsi="宋体"/>
        </w:rPr>
        <w:t>电    话：0535-6321200</w:t>
      </w:r>
    </w:p>
    <w:p>
      <w:pPr>
        <w:ind w:firstLine="480"/>
        <w:outlineLvl w:val="1"/>
        <w:rPr>
          <w:rFonts w:ascii="宋体" w:hAnsi="宋体"/>
          <w:b/>
          <w:bCs/>
          <w:sz w:val="28"/>
          <w:szCs w:val="28"/>
          <w:highlight w:val="none"/>
        </w:rPr>
      </w:pPr>
      <w:bookmarkStart w:id="48" w:name="_Toc22533"/>
      <w:r>
        <w:rPr>
          <w:rFonts w:hint="eastAsia" w:ascii="宋体" w:hAnsi="宋体"/>
          <w:b/>
          <w:bCs/>
          <w:sz w:val="28"/>
          <w:szCs w:val="28"/>
          <w:highlight w:val="none"/>
        </w:rPr>
        <w:t>二、审计机构</w:t>
      </w:r>
      <w:bookmarkEnd w:id="48"/>
    </w:p>
    <w:p>
      <w:pPr>
        <w:ind w:firstLine="480"/>
        <w:rPr>
          <w:rFonts w:hint="eastAsia" w:ascii="宋体" w:hAnsi="宋体" w:eastAsia="宋体"/>
          <w:highlight w:val="none"/>
          <w:lang w:eastAsia="zh-CN"/>
        </w:rPr>
      </w:pPr>
      <w:r>
        <w:rPr>
          <w:rFonts w:hint="eastAsia" w:ascii="宋体" w:hAnsi="宋体"/>
          <w:highlight w:val="none"/>
        </w:rPr>
        <w:t>名    称：</w:t>
      </w:r>
      <w:r>
        <w:rPr>
          <w:rFonts w:hint="eastAsia" w:ascii="宋体" w:hAnsi="宋体"/>
          <w:highlight w:val="none"/>
          <w:lang w:eastAsia="zh-CN"/>
        </w:rPr>
        <w:t>山东舜天信诚会计师事务所（特殊普通合伙）</w:t>
      </w:r>
    </w:p>
    <w:p>
      <w:pPr>
        <w:ind w:firstLine="480"/>
        <w:rPr>
          <w:rFonts w:ascii="宋体" w:hAnsi="宋体"/>
          <w:highlight w:val="none"/>
        </w:rPr>
      </w:pPr>
      <w:r>
        <w:rPr>
          <w:rFonts w:hint="eastAsia" w:ascii="宋体" w:hAnsi="宋体"/>
          <w:highlight w:val="none"/>
        </w:rPr>
        <w:t>办公地址：山东省济南市历下区花园路189-2号畅远商座甲座三楼</w:t>
      </w:r>
    </w:p>
    <w:p>
      <w:pPr>
        <w:ind w:firstLine="480"/>
        <w:rPr>
          <w:rFonts w:ascii="宋体" w:hAnsi="宋体"/>
          <w:highlight w:val="none"/>
        </w:rPr>
      </w:pPr>
      <w:r>
        <w:rPr>
          <w:rFonts w:hint="eastAsia" w:ascii="宋体" w:hAnsi="宋体"/>
          <w:highlight w:val="none"/>
        </w:rPr>
        <w:t>负 责 人：肖东义</w:t>
      </w:r>
    </w:p>
    <w:p>
      <w:pPr>
        <w:ind w:firstLine="480"/>
        <w:rPr>
          <w:rFonts w:ascii="宋体" w:hAnsi="宋体"/>
          <w:highlight w:val="none"/>
        </w:rPr>
      </w:pPr>
      <w:r>
        <w:rPr>
          <w:rFonts w:hint="eastAsia" w:ascii="宋体" w:hAnsi="宋体"/>
          <w:highlight w:val="none"/>
        </w:rPr>
        <w:t xml:space="preserve">经办注册会计师：肖东义 </w:t>
      </w:r>
      <w:r>
        <w:rPr>
          <w:rFonts w:ascii="宋体" w:hAnsi="宋体"/>
          <w:highlight w:val="none"/>
        </w:rPr>
        <w:t xml:space="preserve"> </w:t>
      </w:r>
      <w:r>
        <w:rPr>
          <w:rFonts w:hint="eastAsia" w:ascii="宋体" w:hAnsi="宋体"/>
          <w:highlight w:val="none"/>
        </w:rPr>
        <w:t>朱大廷</w:t>
      </w:r>
    </w:p>
    <w:p>
      <w:pPr>
        <w:ind w:firstLine="480"/>
        <w:rPr>
          <w:rFonts w:ascii="宋体" w:hAnsi="宋体"/>
          <w:highlight w:val="none"/>
        </w:rPr>
      </w:pPr>
      <w:r>
        <w:rPr>
          <w:rFonts w:hint="eastAsia" w:ascii="宋体" w:hAnsi="宋体"/>
          <w:highlight w:val="none"/>
        </w:rPr>
        <w:t>电    话：0</w:t>
      </w:r>
      <w:r>
        <w:rPr>
          <w:rFonts w:ascii="宋体" w:hAnsi="宋体"/>
          <w:highlight w:val="none"/>
        </w:rPr>
        <w:t>531</w:t>
      </w:r>
      <w:r>
        <w:rPr>
          <w:rFonts w:hint="eastAsia" w:ascii="宋体" w:hAnsi="宋体"/>
          <w:highlight w:val="none"/>
        </w:rPr>
        <w:t>-</w:t>
      </w:r>
      <w:r>
        <w:rPr>
          <w:rFonts w:ascii="宋体" w:hAnsi="宋体"/>
          <w:highlight w:val="none"/>
        </w:rPr>
        <w:t>86550426</w:t>
      </w:r>
    </w:p>
    <w:p>
      <w:pPr>
        <w:ind w:firstLine="480"/>
        <w:outlineLvl w:val="1"/>
        <w:rPr>
          <w:rFonts w:ascii="宋体" w:hAnsi="宋体"/>
          <w:sz w:val="28"/>
          <w:szCs w:val="28"/>
        </w:rPr>
      </w:pPr>
      <w:bookmarkStart w:id="49" w:name="_Toc4398"/>
      <w:r>
        <w:rPr>
          <w:rFonts w:hint="eastAsia" w:ascii="宋体" w:hAnsi="宋体"/>
          <w:b/>
          <w:bCs/>
          <w:sz w:val="28"/>
          <w:szCs w:val="28"/>
        </w:rPr>
        <w:t>三、股权登记托管机构</w:t>
      </w:r>
      <w:bookmarkEnd w:id="49"/>
    </w:p>
    <w:p>
      <w:pPr>
        <w:ind w:firstLine="480"/>
        <w:rPr>
          <w:rFonts w:ascii="宋体" w:hAnsi="宋体"/>
        </w:rPr>
      </w:pPr>
      <w:r>
        <w:rPr>
          <w:rFonts w:hint="eastAsia" w:ascii="宋体" w:hAnsi="宋体"/>
        </w:rPr>
        <w:t>名    称：齐鲁股权交易中心有限公司</w:t>
      </w:r>
    </w:p>
    <w:p>
      <w:pPr>
        <w:ind w:firstLine="480"/>
        <w:rPr>
          <w:rFonts w:ascii="宋体" w:hAnsi="宋体"/>
        </w:rPr>
      </w:pPr>
      <w:r>
        <w:rPr>
          <w:rFonts w:hint="eastAsia" w:ascii="宋体" w:hAnsi="宋体"/>
        </w:rPr>
        <w:t xml:space="preserve">注册地址：山东省淄博市张店区人民西路228号金融大厦3、4、20、21、22层 </w:t>
      </w:r>
    </w:p>
    <w:p>
      <w:pPr>
        <w:ind w:firstLine="480"/>
        <w:rPr>
          <w:rFonts w:ascii="宋体" w:hAnsi="宋体"/>
        </w:rPr>
      </w:pPr>
      <w:r>
        <w:rPr>
          <w:rFonts w:hint="eastAsia" w:ascii="宋体" w:hAnsi="宋体"/>
        </w:rPr>
        <w:t>电    话：0533-277</w:t>
      </w:r>
      <w:r>
        <w:rPr>
          <w:rFonts w:ascii="宋体" w:hAnsi="宋体"/>
        </w:rPr>
        <w:t>8470</w:t>
      </w:r>
    </w:p>
    <w:p>
      <w:pPr>
        <w:ind w:firstLine="480"/>
        <w:rPr>
          <w:rFonts w:ascii="仿宋" w:hAnsi="仿宋" w:eastAsia="仿宋" w:cs="仿宋"/>
          <w:sz w:val="32"/>
          <w:szCs w:val="32"/>
        </w:rPr>
      </w:pPr>
      <w:r>
        <w:rPr>
          <w:rFonts w:hint="eastAsia" w:ascii="宋体" w:hAnsi="宋体"/>
        </w:rPr>
        <w:t>传    真：0533-277</w:t>
      </w:r>
      <w:r>
        <w:rPr>
          <w:rFonts w:ascii="宋体" w:hAnsi="宋体"/>
        </w:rPr>
        <w:t>8470</w:t>
      </w:r>
    </w:p>
    <w:p>
      <w:pPr>
        <w:rPr>
          <w:rFonts w:ascii="仿宋" w:hAnsi="仿宋" w:eastAsia="仿宋" w:cs="仿宋"/>
          <w:sz w:val="32"/>
          <w:szCs w:val="32"/>
        </w:rPr>
      </w:pPr>
    </w:p>
    <w:sectPr>
      <w:headerReference r:id="rId5" w:type="default"/>
      <w:footerReference r:id="rId6" w:type="default"/>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Arial Narrow">
    <w:altName w:val="Aria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posOffset>2508250</wp:posOffset>
              </wp:positionH>
              <wp:positionV relativeFrom="paragraph">
                <wp:posOffset>635</wp:posOffset>
              </wp:positionV>
              <wp:extent cx="488950" cy="1828800"/>
              <wp:effectExtent l="0" t="0" r="6350" b="14605"/>
              <wp:wrapNone/>
              <wp:docPr id="2" name="文本框 2"/>
              <wp:cNvGraphicFramePr/>
              <a:graphic xmlns:a="http://schemas.openxmlformats.org/drawingml/2006/main">
                <a:graphicData uri="http://schemas.microsoft.com/office/word/2010/wordprocessingShape">
                  <wps:wsp>
                    <wps:cNvSpPr txBox="1"/>
                    <wps:spPr>
                      <a:xfrm>
                        <a:off x="0" y="0"/>
                        <a:ext cx="48895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ind w:firstLine="360" w:firstLineChars="200"/>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197.5pt;margin-top:0.05pt;height:144pt;width:38.5pt;mso-position-horizontal-relative:margin;z-index:251659264;mso-width-relative:page;mso-height-relative:page;" filled="f" stroked="f" coordsize="21600,21600" o:gfxdata="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DgOaFfWAAAACAEAAA8AAAAAAAAAAQAgAAAAIgAAAGRycy9kb3ducmV2LnhtbFBL&#10;AQIUABQAAAAIAIdO4kDBOpYcMQIAAFYEAAAOAAAAAAAAAAEAIAAAACUBAABkcnMvZTJvRG9jLnht&#10;bFBLBQYAAAAABgAGAFkBAADIBQAAAAA=&#10;">
              <v:fill on="f" focussize="0,0"/>
              <v:stroke on="f" weight="0.5pt"/>
              <v:imagedata o:title=""/>
              <o:lock v:ext="edit" aspectratio="f"/>
              <v:textbox inset="0mm,0mm,0mm,0mm" style="mso-fit-shape-to-text:t;">
                <w:txbxContent>
                  <w:p>
                    <w:pPr>
                      <w:pStyle w:val="8"/>
                      <w:ind w:firstLine="360" w:firstLineChars="200"/>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left"/>
    </w:pPr>
    <w:r>
      <w:rPr>
        <w:rFonts w:hint="eastAsia"/>
      </w:rPr>
      <w:t>烟台瀚永投资有限公司                                                      挂牌转让说明书摘要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F81CD7"/>
    <w:multiLevelType w:val="singleLevel"/>
    <w:tmpl w:val="59F81CD7"/>
    <w:lvl w:ilvl="0" w:tentative="0">
      <w:start w:val="2"/>
      <w:numFmt w:val="chineseCounting"/>
      <w:suff w:val="nothing"/>
      <w:lvlText w:val="（%1）"/>
      <w:lvlJc w:val="left"/>
    </w:lvl>
  </w:abstractNum>
  <w:abstractNum w:abstractNumId="1">
    <w:nsid w:val="5A0BE1DE"/>
    <w:multiLevelType w:val="singleLevel"/>
    <w:tmpl w:val="5A0BE1DE"/>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50B"/>
    <w:rsid w:val="0003617F"/>
    <w:rsid w:val="000457D6"/>
    <w:rsid w:val="00055162"/>
    <w:rsid w:val="00076722"/>
    <w:rsid w:val="00077EEA"/>
    <w:rsid w:val="000A3763"/>
    <w:rsid w:val="000E5D50"/>
    <w:rsid w:val="000F6BEC"/>
    <w:rsid w:val="001272BF"/>
    <w:rsid w:val="0017622D"/>
    <w:rsid w:val="001851D9"/>
    <w:rsid w:val="00186461"/>
    <w:rsid w:val="00187174"/>
    <w:rsid w:val="001E0B5F"/>
    <w:rsid w:val="00270385"/>
    <w:rsid w:val="002879A6"/>
    <w:rsid w:val="003070D4"/>
    <w:rsid w:val="00310354"/>
    <w:rsid w:val="00326182"/>
    <w:rsid w:val="00344E1A"/>
    <w:rsid w:val="00346960"/>
    <w:rsid w:val="00354DC9"/>
    <w:rsid w:val="00367382"/>
    <w:rsid w:val="00390064"/>
    <w:rsid w:val="003B30D7"/>
    <w:rsid w:val="003D5BCE"/>
    <w:rsid w:val="003E77D6"/>
    <w:rsid w:val="00446A47"/>
    <w:rsid w:val="004C18B7"/>
    <w:rsid w:val="004C1CBF"/>
    <w:rsid w:val="004E4ADD"/>
    <w:rsid w:val="0051639C"/>
    <w:rsid w:val="00527BFA"/>
    <w:rsid w:val="00532F3E"/>
    <w:rsid w:val="00564886"/>
    <w:rsid w:val="005A3BD9"/>
    <w:rsid w:val="005B4E9B"/>
    <w:rsid w:val="00604CD3"/>
    <w:rsid w:val="00611CCD"/>
    <w:rsid w:val="00621C1E"/>
    <w:rsid w:val="00630E37"/>
    <w:rsid w:val="0063650B"/>
    <w:rsid w:val="00652E61"/>
    <w:rsid w:val="006919CB"/>
    <w:rsid w:val="006D10AA"/>
    <w:rsid w:val="006D4494"/>
    <w:rsid w:val="006F2A51"/>
    <w:rsid w:val="0072035D"/>
    <w:rsid w:val="007E7F60"/>
    <w:rsid w:val="007F4589"/>
    <w:rsid w:val="00802380"/>
    <w:rsid w:val="00842F11"/>
    <w:rsid w:val="00857287"/>
    <w:rsid w:val="00866DFE"/>
    <w:rsid w:val="008B1D0C"/>
    <w:rsid w:val="008D1648"/>
    <w:rsid w:val="008F5514"/>
    <w:rsid w:val="00954BFB"/>
    <w:rsid w:val="00982977"/>
    <w:rsid w:val="00984B8F"/>
    <w:rsid w:val="009A54AB"/>
    <w:rsid w:val="009D03AA"/>
    <w:rsid w:val="00A126B9"/>
    <w:rsid w:val="00A37082"/>
    <w:rsid w:val="00B00450"/>
    <w:rsid w:val="00B043A0"/>
    <w:rsid w:val="00B17078"/>
    <w:rsid w:val="00B456C3"/>
    <w:rsid w:val="00B5412A"/>
    <w:rsid w:val="00B90B34"/>
    <w:rsid w:val="00C058F4"/>
    <w:rsid w:val="00C6536B"/>
    <w:rsid w:val="00C840AA"/>
    <w:rsid w:val="00CF2560"/>
    <w:rsid w:val="00CF55ED"/>
    <w:rsid w:val="00CF5FD4"/>
    <w:rsid w:val="00D1230C"/>
    <w:rsid w:val="00D24DE9"/>
    <w:rsid w:val="00D43AA2"/>
    <w:rsid w:val="00D507B3"/>
    <w:rsid w:val="00D7306C"/>
    <w:rsid w:val="00D77C16"/>
    <w:rsid w:val="00E101A1"/>
    <w:rsid w:val="00E12641"/>
    <w:rsid w:val="00E126BD"/>
    <w:rsid w:val="00E9510B"/>
    <w:rsid w:val="00EA7AB7"/>
    <w:rsid w:val="00EC5CB1"/>
    <w:rsid w:val="00F11DBC"/>
    <w:rsid w:val="00F13BE6"/>
    <w:rsid w:val="015D5EBB"/>
    <w:rsid w:val="06917D50"/>
    <w:rsid w:val="0B0A14A2"/>
    <w:rsid w:val="0D8F78D5"/>
    <w:rsid w:val="0DC55A5C"/>
    <w:rsid w:val="0E1D4990"/>
    <w:rsid w:val="0EB51182"/>
    <w:rsid w:val="0F406E33"/>
    <w:rsid w:val="0F876D89"/>
    <w:rsid w:val="14932E38"/>
    <w:rsid w:val="17A961DB"/>
    <w:rsid w:val="1A523845"/>
    <w:rsid w:val="1F785DBD"/>
    <w:rsid w:val="21FF013A"/>
    <w:rsid w:val="24AA58CC"/>
    <w:rsid w:val="27186A40"/>
    <w:rsid w:val="27614DC9"/>
    <w:rsid w:val="2C0D4202"/>
    <w:rsid w:val="2FB479CC"/>
    <w:rsid w:val="316C2956"/>
    <w:rsid w:val="3A7A7D3E"/>
    <w:rsid w:val="42D03BA5"/>
    <w:rsid w:val="460F7809"/>
    <w:rsid w:val="4644478D"/>
    <w:rsid w:val="469022A7"/>
    <w:rsid w:val="4AD56418"/>
    <w:rsid w:val="4AE66FAB"/>
    <w:rsid w:val="4C443965"/>
    <w:rsid w:val="53B20807"/>
    <w:rsid w:val="55A94E7F"/>
    <w:rsid w:val="55B72FCB"/>
    <w:rsid w:val="5DB05317"/>
    <w:rsid w:val="618810E8"/>
    <w:rsid w:val="621A0073"/>
    <w:rsid w:val="659642BC"/>
    <w:rsid w:val="665744AA"/>
    <w:rsid w:val="695141D5"/>
    <w:rsid w:val="6C6F083F"/>
    <w:rsid w:val="6EEA4F1D"/>
    <w:rsid w:val="73A91DCB"/>
    <w:rsid w:val="744F3C17"/>
    <w:rsid w:val="77531126"/>
    <w:rsid w:val="7CB57BC0"/>
    <w:rsid w:val="7CEA51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宋体" w:cs="Times New Roman"/>
      <w:kern w:val="2"/>
      <w:sz w:val="24"/>
      <w:szCs w:val="24"/>
      <w:lang w:val="en-US" w:eastAsia="zh-CN" w:bidi="ar-SA"/>
    </w:rPr>
  </w:style>
  <w:style w:type="paragraph" w:styleId="2">
    <w:name w:val="heading 1"/>
    <w:basedOn w:val="1"/>
    <w:next w:val="1"/>
    <w:qFormat/>
    <w:uiPriority w:val="0"/>
    <w:pPr>
      <w:keepNext/>
      <w:keepLines/>
      <w:spacing w:before="340" w:after="330" w:line="576" w:lineRule="auto"/>
      <w:jc w:val="center"/>
      <w:outlineLvl w:val="0"/>
    </w:pPr>
    <w:rPr>
      <w:b/>
      <w:kern w:val="44"/>
      <w:sz w:val="32"/>
    </w:rPr>
  </w:style>
  <w:style w:type="paragraph" w:styleId="3">
    <w:name w:val="heading 2"/>
    <w:basedOn w:val="1"/>
    <w:next w:val="1"/>
    <w:qFormat/>
    <w:uiPriority w:val="0"/>
    <w:pPr>
      <w:keepNext/>
      <w:keepLines/>
      <w:spacing w:before="20" w:after="20" w:line="413" w:lineRule="auto"/>
      <w:ind w:left="200" w:leftChars="200"/>
      <w:outlineLvl w:val="1"/>
    </w:pPr>
    <w:rPr>
      <w:rFonts w:ascii="Arial" w:hAnsi="Arial"/>
      <w:b/>
      <w:sz w:val="28"/>
    </w:rPr>
  </w:style>
  <w:style w:type="paragraph" w:styleId="4">
    <w:name w:val="heading 3"/>
    <w:basedOn w:val="1"/>
    <w:next w:val="1"/>
    <w:link w:val="20"/>
    <w:unhideWhenUsed/>
    <w:qFormat/>
    <w:uiPriority w:val="0"/>
    <w:pPr>
      <w:keepNext/>
      <w:keepLines/>
      <w:spacing w:before="260" w:after="260" w:line="416" w:lineRule="auto"/>
      <w:outlineLvl w:val="2"/>
    </w:pPr>
    <w:rPr>
      <w:b/>
      <w:bCs/>
      <w:sz w:val="32"/>
      <w:szCs w:val="32"/>
    </w:rPr>
  </w:style>
  <w:style w:type="paragraph" w:styleId="5">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6">
    <w:name w:val="Body Text Indent"/>
    <w:basedOn w:val="1"/>
    <w:unhideWhenUsed/>
    <w:qFormat/>
    <w:uiPriority w:val="99"/>
    <w:pPr>
      <w:spacing w:after="120"/>
      <w:ind w:left="420" w:leftChars="200"/>
    </w:pPr>
  </w:style>
  <w:style w:type="paragraph" w:styleId="7">
    <w:name w:val="Balloon Text"/>
    <w:basedOn w:val="1"/>
    <w:link w:val="17"/>
    <w:qFormat/>
    <w:uiPriority w:val="0"/>
    <w:pPr>
      <w:spacing w:line="240" w:lineRule="auto"/>
    </w:pPr>
    <w:rPr>
      <w:sz w:val="18"/>
      <w:szCs w:val="18"/>
    </w:rPr>
  </w:style>
  <w:style w:type="paragraph" w:styleId="8">
    <w:name w:val="footer"/>
    <w:basedOn w:val="1"/>
    <w:link w:val="22"/>
    <w:qFormat/>
    <w:uiPriority w:val="0"/>
    <w:pPr>
      <w:tabs>
        <w:tab w:val="center" w:pos="4153"/>
        <w:tab w:val="right" w:pos="8306"/>
      </w:tabs>
      <w:snapToGrid w:val="0"/>
      <w:spacing w:line="240" w:lineRule="auto"/>
      <w:jc w:val="left"/>
    </w:pPr>
    <w:rPr>
      <w:sz w:val="18"/>
      <w:szCs w:val="18"/>
    </w:rPr>
  </w:style>
  <w:style w:type="paragraph" w:styleId="9">
    <w:name w:val="header"/>
    <w:basedOn w:val="1"/>
    <w:link w:val="21"/>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10">
    <w:name w:val="toc 1"/>
    <w:basedOn w:val="1"/>
    <w:next w:val="1"/>
    <w:qFormat/>
    <w:uiPriority w:val="0"/>
  </w:style>
  <w:style w:type="paragraph" w:styleId="11">
    <w:name w:val="toc 2"/>
    <w:basedOn w:val="1"/>
    <w:next w:val="1"/>
    <w:qFormat/>
    <w:uiPriority w:val="0"/>
    <w:pPr>
      <w:ind w:left="420" w:leftChars="200"/>
    </w:pPr>
  </w:style>
  <w:style w:type="character" w:styleId="14">
    <w:name w:val="Hyperlink"/>
    <w:qFormat/>
    <w:uiPriority w:val="99"/>
    <w:rPr>
      <w:color w:val="0000FF"/>
      <w:u w:val="single"/>
    </w:rPr>
  </w:style>
  <w:style w:type="paragraph" w:customStyle="1" w:styleId="15">
    <w:name w:val="WPSOffice手动目录 1"/>
    <w:qFormat/>
    <w:uiPriority w:val="0"/>
    <w:rPr>
      <w:rFonts w:ascii="Times New Roman" w:hAnsi="Times New Roman" w:eastAsia="宋体" w:cs="Times New Roman"/>
      <w:lang w:val="en-US" w:eastAsia="zh-CN" w:bidi="ar-SA"/>
    </w:rPr>
  </w:style>
  <w:style w:type="paragraph" w:customStyle="1" w:styleId="16">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17">
    <w:name w:val="批注框文本 字符"/>
    <w:link w:val="7"/>
    <w:qFormat/>
    <w:uiPriority w:val="0"/>
    <w:rPr>
      <w:kern w:val="2"/>
      <w:sz w:val="18"/>
      <w:szCs w:val="18"/>
    </w:rPr>
  </w:style>
  <w:style w:type="paragraph" w:customStyle="1" w:styleId="18">
    <w:name w:val="修订1"/>
    <w:hidden/>
    <w:unhideWhenUsed/>
    <w:qFormat/>
    <w:uiPriority w:val="99"/>
    <w:rPr>
      <w:rFonts w:ascii="Times New Roman" w:hAnsi="Times New Roman" w:eastAsia="宋体" w:cs="Times New Roman"/>
      <w:kern w:val="2"/>
      <w:sz w:val="24"/>
      <w:szCs w:val="24"/>
      <w:lang w:val="en-US" w:eastAsia="zh-CN" w:bidi="ar-SA"/>
    </w:rPr>
  </w:style>
  <w:style w:type="paragraph" w:styleId="19">
    <w:name w:val="List Paragraph"/>
    <w:basedOn w:val="1"/>
    <w:qFormat/>
    <w:uiPriority w:val="99"/>
    <w:pPr>
      <w:ind w:firstLine="420" w:firstLineChars="200"/>
    </w:pPr>
  </w:style>
  <w:style w:type="character" w:customStyle="1" w:styleId="20">
    <w:name w:val="标题 3 字符"/>
    <w:link w:val="4"/>
    <w:qFormat/>
    <w:uiPriority w:val="0"/>
    <w:rPr>
      <w:b/>
      <w:bCs/>
      <w:kern w:val="2"/>
      <w:sz w:val="32"/>
      <w:szCs w:val="32"/>
    </w:rPr>
  </w:style>
  <w:style w:type="character" w:customStyle="1" w:styleId="21">
    <w:name w:val="页眉 字符"/>
    <w:link w:val="9"/>
    <w:qFormat/>
    <w:uiPriority w:val="0"/>
    <w:rPr>
      <w:kern w:val="2"/>
      <w:sz w:val="18"/>
      <w:szCs w:val="18"/>
    </w:rPr>
  </w:style>
  <w:style w:type="character" w:customStyle="1" w:styleId="22">
    <w:name w:val="页脚 字符"/>
    <w:link w:val="8"/>
    <w:qFormat/>
    <w:uiPriority w:val="0"/>
    <w:rPr>
      <w:kern w:val="2"/>
      <w:sz w:val="18"/>
      <w:szCs w:val="18"/>
    </w:rPr>
  </w:style>
  <w:style w:type="character" w:customStyle="1" w:styleId="23">
    <w:name w:val="font41"/>
    <w:basedOn w:val="13"/>
    <w:qFormat/>
    <w:uiPriority w:val="0"/>
    <w:rPr>
      <w:rFonts w:hint="eastAsia" w:ascii="宋体" w:hAnsi="宋体" w:eastAsia="宋体" w:cs="宋体"/>
      <w:b/>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chart" Target="charts/chart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3.png"/><Relationship Id="rId10" Type="http://schemas.openxmlformats.org/officeDocument/2006/relationships/image" Target="media/image2.jpeg"/><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sz="1600" b="1">
                <a:solidFill>
                  <a:schemeClr val="tx1"/>
                </a:solidFill>
              </a:rPr>
              <a:t>淄博德昶泰经贸有限公司股权架构图</a:t>
            </a:r>
            <a:endParaRPr sz="1600" b="1">
              <a:solidFill>
                <a:schemeClr val="tx1"/>
              </a:solidFill>
            </a:endParaRPr>
          </a:p>
        </c:rich>
      </c:tx>
      <c:layout>
        <c:manualLayout>
          <c:xMode val="edge"/>
          <c:yMode val="edge"/>
          <c:x val="0.14029528412964"/>
          <c:y val="0.0541134945032176"/>
        </c:manualLayout>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manualLayout>
                  <c:x val="-0.200426297451482"/>
                  <c:y val="-0.17950237712125"/>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sz="1200" b="1"/>
                      <a:t>向德庆 345万元 69%</a:t>
                    </a:r>
                    <a:endParaRPr sz="1200" b="1"/>
                  </a:p>
                </c:rich>
              </c:tx>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67568321249303"/>
                      <c:h val="0.208642808912897"/>
                    </c:manualLayout>
                  </c15:layout>
                </c:ext>
              </c:extLst>
            </c:dLbl>
            <c:dLbl>
              <c:idx val="1"/>
              <c:layout>
                <c:manualLayout>
                  <c:x val="0.184406286074869"/>
                  <c:y val="0.189855756764286"/>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sz="1200" b="1"/>
                      <a:t>何恒广 155万元31%</a:t>
                    </a:r>
                    <a:endParaRPr sz="1200" b="1"/>
                  </a:p>
                </c:rich>
              </c:tx>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52509760178472"/>
                      <c:h val="0.208642808912897"/>
                    </c:manualLayout>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[工作簿1]Sheet1!$A$1:$B$1</c:f>
              <c:strCache>
                <c:ptCount val="2"/>
                <c:pt idx="0">
                  <c:v>向德庆</c:v>
                </c:pt>
                <c:pt idx="1">
                  <c:v>何恒广</c:v>
                </c:pt>
              </c:strCache>
            </c:strRef>
          </c:cat>
          <c:val>
            <c:numRef>
              <c:f>[工作簿1]Sheet1!$A$2:$B$2</c:f>
              <c:numCache>
                <c:formatCode>0%</c:formatCode>
                <c:ptCount val="2"/>
                <c:pt idx="0">
                  <c:v>0.69</c:v>
                </c:pt>
                <c:pt idx="1">
                  <c:v>0.31</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1822</Words>
  <Characters>10390</Characters>
  <Lines>86</Lines>
  <Paragraphs>24</Paragraphs>
  <TotalTime>0</TotalTime>
  <ScaleCrop>false</ScaleCrop>
  <LinksUpToDate>false</LinksUpToDate>
  <CharactersWithSpaces>12188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2019-12-08T06:58:00Z</dcterms:created>
  <dc:creator>lenovo</dc:creator>
  <cp:lastModifiedBy>lee</cp:lastModifiedBy>
  <dcterms:modified xsi:type="dcterms:W3CDTF">2021-08-26T06:22:44Z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B8163FE4AFBA43B5BC2A6851CA94D8BD</vt:lpwstr>
  </property>
</Properties>
</file>